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7000D6">
      <w:pPr>
        <w:pStyle w:val="2"/>
        <w:spacing w:before="0" w:after="0" w:line="240" w:lineRule="auto"/>
        <w:jc w:val="center"/>
        <w:rPr>
          <w:sz w:val="40"/>
          <w:szCs w:val="22"/>
        </w:rPr>
      </w:pPr>
      <w:r>
        <w:rPr>
          <w:rFonts w:hint="eastAsia"/>
          <w:sz w:val="40"/>
          <w:szCs w:val="22"/>
        </w:rPr>
        <w:t>I</w:t>
      </w:r>
      <w:r>
        <w:rPr>
          <w:sz w:val="40"/>
          <w:szCs w:val="22"/>
        </w:rPr>
        <w:t>APv4-LE</w:t>
      </w:r>
      <w:r>
        <w:rPr>
          <w:rFonts w:hint="eastAsia"/>
          <w:sz w:val="40"/>
          <w:szCs w:val="22"/>
        </w:rPr>
        <w:t>大样本集合数据说明（温度/热含量）</w:t>
      </w:r>
    </w:p>
    <w:p w14:paraId="2DDCEC68">
      <w:pPr>
        <w:pStyle w:val="2"/>
        <w:spacing w:before="0" w:after="0" w:line="240" w:lineRule="auto"/>
        <w:jc w:val="center"/>
        <w:rPr>
          <w:rFonts w:ascii="Times New Roman Regular" w:hAnsi="Times New Roman Regular" w:cs="Times New Roman Regular"/>
          <w:bCs/>
          <w:sz w:val="36"/>
          <w:szCs w:val="44"/>
        </w:rPr>
      </w:pPr>
      <w:r>
        <w:rPr>
          <w:rFonts w:ascii="Times New Roman Regular" w:hAnsi="Times New Roman Regular" w:cs="Times New Roman Regular"/>
          <w:bCs/>
          <w:sz w:val="36"/>
          <w:szCs w:val="44"/>
        </w:rPr>
        <w:t>Instruction of the IAP</w:t>
      </w:r>
      <w:r>
        <w:rPr>
          <w:rFonts w:hint="eastAsia" w:ascii="Times New Roman Regular" w:hAnsi="Times New Roman Regular" w:cs="Times New Roman Regular"/>
          <w:bCs/>
          <w:sz w:val="36"/>
          <w:szCs w:val="44"/>
        </w:rPr>
        <w:t xml:space="preserve"> large ensemble data</w:t>
      </w:r>
      <w:r>
        <w:rPr>
          <w:rFonts w:ascii="Times New Roman Regular" w:hAnsi="Times New Roman Regular" w:cs="Times New Roman Regular"/>
          <w:bCs/>
          <w:sz w:val="36"/>
          <w:szCs w:val="44"/>
        </w:rPr>
        <w:t>set (IAPv4-LE, temperature/ocean heat content)</w:t>
      </w:r>
    </w:p>
    <w:p w14:paraId="06A73987">
      <w:pPr>
        <w:rPr>
          <w:sz w:val="44"/>
        </w:rPr>
      </w:pPr>
    </w:p>
    <w:p w14:paraId="712C7883">
      <w:pPr>
        <w:ind w:left="140" w:hanging="140" w:hangingChars="50"/>
        <w:jc w:val="center"/>
        <w:rPr>
          <w:rFonts w:hint="eastAsia"/>
          <w:sz w:val="28"/>
          <w:szCs w:val="28"/>
        </w:rPr>
      </w:pPr>
      <w:r>
        <w:rPr>
          <w:rFonts w:hint="eastAsia"/>
          <w:sz w:val="28"/>
          <w:szCs w:val="28"/>
        </w:rPr>
        <w:t>联系人：原惠峰(</w:t>
      </w:r>
      <w:r>
        <w:rPr>
          <w:rFonts w:hint="default"/>
          <w:sz w:val="28"/>
          <w:szCs w:val="28"/>
          <w:lang w:val="en-US"/>
        </w:rPr>
        <w:t>hfyuan@cnic.cn</w:t>
      </w:r>
      <w:r>
        <w:rPr>
          <w:sz w:val="28"/>
          <w:szCs w:val="28"/>
        </w:rPr>
        <w:t>)</w:t>
      </w:r>
      <w:r>
        <w:rPr>
          <w:rFonts w:hint="eastAsia"/>
          <w:sz w:val="28"/>
          <w:szCs w:val="28"/>
        </w:rPr>
        <w:t>、成里京</w:t>
      </w:r>
      <w:r>
        <w:rPr>
          <w:sz w:val="28"/>
          <w:szCs w:val="28"/>
        </w:rPr>
        <w:t>(</w:t>
      </w:r>
      <w:r>
        <w:rPr>
          <w:rStyle w:val="14"/>
          <w:color w:val="auto"/>
          <w:sz w:val="28"/>
          <w:szCs w:val="28"/>
        </w:rPr>
        <w:t>chenglij@mail.iap.ac.cn</w:t>
      </w:r>
      <w:r>
        <w:rPr>
          <w:sz w:val="28"/>
          <w:szCs w:val="28"/>
        </w:rPr>
        <w:t>)</w:t>
      </w:r>
    </w:p>
    <w:p w14:paraId="569D77DE">
      <w:pPr>
        <w:jc w:val="center"/>
        <w:rPr>
          <w:sz w:val="28"/>
          <w:szCs w:val="28"/>
        </w:rPr>
      </w:pPr>
      <w:r>
        <w:rPr>
          <w:rFonts w:hint="eastAsia"/>
          <w:sz w:val="28"/>
          <w:szCs w:val="28"/>
        </w:rPr>
        <w:t>C</w:t>
      </w:r>
      <w:r>
        <w:rPr>
          <w:sz w:val="28"/>
          <w:szCs w:val="28"/>
        </w:rPr>
        <w:t>ontact</w:t>
      </w:r>
      <w:r>
        <w:rPr>
          <w:rFonts w:hint="eastAsia"/>
          <w:sz w:val="28"/>
          <w:szCs w:val="28"/>
        </w:rPr>
        <w:t>:</w:t>
      </w:r>
      <w:r>
        <w:rPr>
          <w:sz w:val="28"/>
          <w:szCs w:val="28"/>
        </w:rPr>
        <w:t xml:space="preserve"> </w:t>
      </w:r>
      <w:r>
        <w:rPr>
          <w:rFonts w:hint="eastAsia"/>
          <w:sz w:val="28"/>
          <w:szCs w:val="28"/>
        </w:rPr>
        <w:t>H</w:t>
      </w:r>
      <w:r>
        <w:rPr>
          <w:sz w:val="28"/>
          <w:szCs w:val="28"/>
        </w:rPr>
        <w:t>uifeng Yuan(</w:t>
      </w:r>
      <w:r>
        <w:rPr>
          <w:rFonts w:hint="default"/>
          <w:sz w:val="28"/>
          <w:szCs w:val="28"/>
          <w:lang w:val="en-US"/>
        </w:rPr>
        <w:t>hfyuan@cnic.cn</w:t>
      </w:r>
      <w:r>
        <w:rPr>
          <w:sz w:val="28"/>
          <w:szCs w:val="28"/>
        </w:rPr>
        <w:t>)</w:t>
      </w:r>
      <w:r>
        <w:rPr>
          <w:rFonts w:hint="eastAsia"/>
          <w:sz w:val="28"/>
          <w:szCs w:val="28"/>
        </w:rPr>
        <w:t>,</w:t>
      </w:r>
      <w:r>
        <w:rPr>
          <w:sz w:val="28"/>
          <w:szCs w:val="28"/>
        </w:rPr>
        <w:t xml:space="preserve"> Lijing Cheng (</w:t>
      </w:r>
      <w:r>
        <w:rPr>
          <w:rStyle w:val="14"/>
          <w:color w:val="auto"/>
          <w:sz w:val="28"/>
          <w:szCs w:val="28"/>
        </w:rPr>
        <w:t>chenglij@mail.iap.ac.cn</w:t>
      </w:r>
      <w:r>
        <w:rPr>
          <w:sz w:val="28"/>
          <w:szCs w:val="28"/>
        </w:rPr>
        <w:t>)</w:t>
      </w:r>
    </w:p>
    <w:p w14:paraId="3237D358">
      <w:pPr>
        <w:rPr>
          <w:rFonts w:hint="eastAsia"/>
          <w:sz w:val="44"/>
        </w:rPr>
      </w:pPr>
    </w:p>
    <w:p w14:paraId="5C6812A8">
      <w:pPr>
        <w:pStyle w:val="3"/>
        <w:numPr>
          <w:ilvl w:val="0"/>
          <w:numId w:val="1"/>
        </w:numPr>
        <w:spacing w:before="0" w:after="0" w:line="360" w:lineRule="auto"/>
        <w:rPr>
          <w:sz w:val="24"/>
        </w:rPr>
      </w:pPr>
      <w:r>
        <w:rPr>
          <w:sz w:val="24"/>
        </w:rPr>
        <w:t>Ensemble construction</w:t>
      </w:r>
      <w:r>
        <w:rPr>
          <w:rFonts w:hint="eastAsia"/>
          <w:sz w:val="24"/>
        </w:rPr>
        <w:t xml:space="preserve"> </w:t>
      </w:r>
      <w:r>
        <w:rPr>
          <w:sz w:val="24"/>
        </w:rPr>
        <w:t>and the ind</w:t>
      </w:r>
      <w:r>
        <w:rPr>
          <w:rFonts w:hint="eastAsia"/>
          <w:sz w:val="24"/>
        </w:rPr>
        <w:t>ice</w:t>
      </w:r>
      <w:r>
        <w:rPr>
          <w:sz w:val="24"/>
        </w:rPr>
        <w:t>s for the members</w:t>
      </w:r>
    </w:p>
    <w:p w14:paraId="045EAB7E">
      <w:pPr>
        <w:spacing w:line="360" w:lineRule="auto"/>
        <w:ind w:firstLine="480" w:firstLineChars="200"/>
        <w:rPr>
          <w:rFonts w:ascii="Times New Roman Regular" w:hAnsi="Times New Roman Regular" w:cs="Times New Roman Regular"/>
          <w:sz w:val="24"/>
        </w:rPr>
      </w:pPr>
      <w:r>
        <w:rPr>
          <w:rFonts w:ascii="Times New Roman Regular" w:hAnsi="Times New Roman Regular" w:cs="Times New Roman Regular"/>
          <w:sz w:val="24"/>
        </w:rPr>
        <w:t xml:space="preserve">Many steps must be used to constructed gridded temperature field and calculate OHC from in situ observations, and all contribute to the uncertainty of the final OHC estimate. </w:t>
      </w:r>
      <w:r>
        <w:rPr>
          <w:rFonts w:hint="eastAsia" w:ascii="Times New Roman Regular" w:hAnsi="Times New Roman Regular" w:cs="Times New Roman Regular"/>
          <w:sz w:val="24"/>
        </w:rPr>
        <w:t>W</w:t>
      </w:r>
      <w:r>
        <w:rPr>
          <w:rFonts w:ascii="Times New Roman Regular" w:hAnsi="Times New Roman Regular" w:cs="Times New Roman Regular"/>
          <w:sz w:val="24"/>
        </w:rPr>
        <w:t>e developed a large-ensemble approach t</w:t>
      </w:r>
      <w:r>
        <w:rPr>
          <w:rFonts w:hint="eastAsia" w:ascii="Times New Roman Regular" w:hAnsi="Times New Roman Regular" w:cs="Times New Roman Regular"/>
          <w:sz w:val="24"/>
        </w:rPr>
        <w:t>o</w:t>
      </w:r>
      <w:r>
        <w:rPr>
          <w:rFonts w:ascii="Times New Roman Regular" w:hAnsi="Times New Roman Regular" w:cs="Times New Roman Regular"/>
          <w:sz w:val="24"/>
        </w:rPr>
        <w:t xml:space="preserve"> quantify uncertainty. For each given step, the three most up-to-date techniques (developed by the many international ocean data groups over the world) are used to give three different estimates (Table 1). Thus, </w:t>
      </w:r>
      <w:r>
        <w:rPr>
          <w:rFonts w:hint="eastAsia" w:ascii="Times New Roman Regular" w:hAnsi="Times New Roman Regular" w:cs="Times New Roman Regular"/>
          <w:sz w:val="24"/>
        </w:rPr>
        <w:t>o</w:t>
      </w:r>
      <w:r>
        <w:rPr>
          <w:rFonts w:ascii="Times New Roman Regular" w:hAnsi="Times New Roman Regular" w:cs="Times New Roman Regular"/>
          <w:sz w:val="24"/>
        </w:rPr>
        <w:t>ne ensemble member represents one combination of techniques with an index in the file name specified by the number listed in Table 1. For example, a file name numbered “11111111” means using IAP climatology, CH14 XBT correction scheme, RRa vertical interpolation scheme, CODC quality control scheme, GCB22-Mean bottle correction scheme, GRC23-Mean APB correction scheme, GC20 MBT correction scheme, and the 1st Sampling/Mapping EnOI member.</w:t>
      </w:r>
    </w:p>
    <w:p w14:paraId="23516C0C">
      <w:pPr>
        <w:spacing w:line="360" w:lineRule="auto"/>
        <w:ind w:firstLine="480" w:firstLineChars="200"/>
        <w:rPr>
          <w:rFonts w:ascii="Times New Roman Regular" w:hAnsi="Times New Roman Regular" w:cs="Times New Roman Regular"/>
          <w:sz w:val="24"/>
        </w:rPr>
      </w:pPr>
      <w:r>
        <w:rPr>
          <w:rFonts w:ascii="Times New Roman Regular" w:hAnsi="Times New Roman Regular" w:cs="Times New Roman Regular"/>
          <w:sz w:val="24"/>
        </w:rPr>
        <w:t>从</w:t>
      </w:r>
      <w:r>
        <w:rPr>
          <w:rFonts w:hint="eastAsia" w:ascii="Times New Roman Regular" w:hAnsi="Times New Roman Regular" w:cs="Times New Roman Regular"/>
          <w:sz w:val="24"/>
        </w:rPr>
        <w:t>现场</w:t>
      </w:r>
      <w:r>
        <w:rPr>
          <w:rFonts w:ascii="Times New Roman Regular" w:hAnsi="Times New Roman Regular" w:cs="Times New Roman Regular"/>
          <w:sz w:val="24"/>
        </w:rPr>
        <w:t>海洋观测构建全球海洋温度和热含量格点数据场需要多个复杂步骤。每个步骤都会引入误差，</w:t>
      </w:r>
      <w:r>
        <w:rPr>
          <w:rFonts w:hint="eastAsia" w:ascii="Times New Roman Regular" w:hAnsi="Times New Roman Regular" w:cs="Times New Roman Regular"/>
          <w:sz w:val="24"/>
        </w:rPr>
        <w:t>贡献于</w:t>
      </w:r>
      <w:r>
        <w:rPr>
          <w:rFonts w:ascii="Times New Roman Regular" w:hAnsi="Times New Roman Regular" w:cs="Times New Roman Regular"/>
          <w:sz w:val="24"/>
        </w:rPr>
        <w:t>最终</w:t>
      </w:r>
      <w:r>
        <w:rPr>
          <w:rFonts w:hint="eastAsia" w:ascii="Times New Roman Regular" w:hAnsi="Times New Roman Regular" w:cs="Times New Roman Regular"/>
          <w:sz w:val="24"/>
        </w:rPr>
        <w:t>格点数据及热含量测</w:t>
      </w:r>
      <w:r>
        <w:rPr>
          <w:rFonts w:ascii="Times New Roman Regular" w:hAnsi="Times New Roman Regular" w:cs="Times New Roman Regular"/>
          <w:sz w:val="24"/>
        </w:rPr>
        <w:t>算</w:t>
      </w:r>
      <w:r>
        <w:rPr>
          <w:rFonts w:hint="eastAsia" w:ascii="Times New Roman Regular" w:hAnsi="Times New Roman Regular" w:cs="Times New Roman Regular"/>
          <w:sz w:val="24"/>
        </w:rPr>
        <w:t>的</w:t>
      </w:r>
      <w:r>
        <w:rPr>
          <w:rFonts w:ascii="Times New Roman Regular" w:hAnsi="Times New Roman Regular" w:cs="Times New Roman Regular"/>
          <w:sz w:val="24"/>
        </w:rPr>
        <w:t>不确定性。基于这一认识，我们</w:t>
      </w:r>
      <w:r>
        <w:rPr>
          <w:rFonts w:hint="eastAsia" w:ascii="Times New Roman Regular" w:hAnsi="Times New Roman Regular" w:cs="Times New Roman Regular"/>
          <w:sz w:val="24"/>
        </w:rPr>
        <w:t>研发</w:t>
      </w:r>
      <w:r>
        <w:rPr>
          <w:rFonts w:ascii="Times New Roman Regular" w:hAnsi="Times New Roman Regular" w:cs="Times New Roman Regular"/>
          <w:sz w:val="24"/>
        </w:rPr>
        <w:t>了一套大样本集合方法进行不确定性量化。</w:t>
      </w:r>
      <w:r>
        <w:rPr>
          <w:rFonts w:hint="eastAsia" w:ascii="Times New Roman Regular" w:hAnsi="Times New Roman Regular" w:cs="Times New Roman Regular"/>
          <w:sz w:val="24"/>
        </w:rPr>
        <w:t>即</w:t>
      </w:r>
      <w:r>
        <w:rPr>
          <w:rFonts w:ascii="Times New Roman Regular" w:hAnsi="Times New Roman Regular" w:cs="Times New Roman Regular"/>
          <w:sz w:val="24"/>
        </w:rPr>
        <w:t>针对每个处理步骤，我们选取国际</w:t>
      </w:r>
      <w:r>
        <w:rPr>
          <w:rFonts w:hint="eastAsia" w:ascii="Times New Roman Regular" w:hAnsi="Times New Roman Regular" w:cs="Times New Roman Regular"/>
          <w:sz w:val="24"/>
        </w:rPr>
        <w:t>多个</w:t>
      </w:r>
      <w:r>
        <w:rPr>
          <w:rFonts w:ascii="Times New Roman Regular" w:hAnsi="Times New Roman Regular" w:cs="Times New Roman Regular"/>
          <w:sz w:val="24"/>
        </w:rPr>
        <w:t>海洋数据研究团队发展的三项主流技术方案，分别生成三种不同的估算结果（详见表1）。</w:t>
      </w:r>
      <w:r>
        <w:rPr>
          <w:rFonts w:hint="eastAsia" w:ascii="Times New Roman Regular" w:hAnsi="Times New Roman Regular" w:cs="Times New Roman Regular"/>
          <w:sz w:val="24"/>
        </w:rPr>
        <w:t>多种方法交叉使用后形成一个大集合，</w:t>
      </w:r>
      <w:r>
        <w:rPr>
          <w:rFonts w:ascii="Times New Roman Regular" w:hAnsi="Times New Roman Regular" w:cs="Times New Roman Regular"/>
          <w:sz w:val="24"/>
        </w:rPr>
        <w:t>每个集合成员代表特定技术方案的组合，其文件名中的数字索引对应表1所列的方案编号。例如，文件名为"11111111"的集合成员表示采用以下技术组合：IAP气候态数据、CH14 XBT校正方案、RRa垂向插值方案，CODC质量控制方案、GCB22-</w:t>
      </w:r>
      <w:r>
        <w:rPr>
          <w:rFonts w:hint="eastAsia" w:ascii="Times New Roman Regular" w:hAnsi="Times New Roman Regular" w:cs="Times New Roman Regular"/>
          <w:sz w:val="24"/>
        </w:rPr>
        <w:t>Mean的bottle</w:t>
      </w:r>
      <w:r>
        <w:rPr>
          <w:rFonts w:ascii="Times New Roman Regular" w:hAnsi="Times New Roman Regular" w:cs="Times New Roman Regular"/>
          <w:sz w:val="24"/>
        </w:rPr>
        <w:t>校正方案、GRC23-</w:t>
      </w:r>
      <w:r>
        <w:rPr>
          <w:rFonts w:hint="eastAsia" w:ascii="Times New Roman Regular" w:hAnsi="Times New Roman Regular" w:cs="Times New Roman Regular"/>
          <w:sz w:val="24"/>
        </w:rPr>
        <w:t>Mean的</w:t>
      </w:r>
      <w:r>
        <w:rPr>
          <w:rFonts w:ascii="Times New Roman Regular" w:hAnsi="Times New Roman Regular" w:cs="Times New Roman Regular"/>
          <w:sz w:val="24"/>
        </w:rPr>
        <w:t xml:space="preserve">APB校正方案、GC20 </w:t>
      </w:r>
      <w:r>
        <w:rPr>
          <w:rFonts w:hint="eastAsia" w:ascii="Times New Roman Regular" w:hAnsi="Times New Roman Regular" w:cs="Times New Roman Regular"/>
          <w:sz w:val="24"/>
        </w:rPr>
        <w:t>的</w:t>
      </w:r>
      <w:r>
        <w:rPr>
          <w:rFonts w:ascii="Times New Roman Regular" w:hAnsi="Times New Roman Regular" w:cs="Times New Roman Regular"/>
          <w:sz w:val="24"/>
        </w:rPr>
        <w:t>MBT校正方案以及第一种格点化误差方案</w:t>
      </w:r>
      <w:r>
        <w:rPr>
          <w:rFonts w:hint="eastAsia" w:ascii="Times New Roman Regular" w:hAnsi="Times New Roman Regular" w:cs="Times New Roman Regular"/>
          <w:sz w:val="24"/>
        </w:rPr>
        <w:t>。</w:t>
      </w:r>
    </w:p>
    <w:p w14:paraId="6713334D">
      <w:pPr>
        <w:spacing w:line="360" w:lineRule="auto"/>
        <w:rPr>
          <w:rFonts w:ascii="Times New Roman Regular" w:hAnsi="Times New Roman Regular" w:cs="Times New Roman Regular"/>
          <w:sz w:val="24"/>
        </w:rPr>
      </w:pPr>
    </w:p>
    <w:p w14:paraId="1FA0AFBE">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Table 1. Indices of the IAPv4-LE members.</w:t>
      </w:r>
    </w:p>
    <w:tbl>
      <w:tblPr>
        <w:tblStyle w:val="12"/>
        <w:tblW w:w="9650"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4"/>
        <w:gridCol w:w="918"/>
        <w:gridCol w:w="988"/>
        <w:gridCol w:w="1126"/>
        <w:gridCol w:w="988"/>
        <w:gridCol w:w="1140"/>
        <w:gridCol w:w="1044"/>
        <w:gridCol w:w="820"/>
        <w:gridCol w:w="2022"/>
      </w:tblGrid>
      <w:tr w14:paraId="0E1D4EC2">
        <w:trPr>
          <w:trHeight w:val="1333" w:hRule="atLeast"/>
        </w:trPr>
        <w:tc>
          <w:tcPr>
            <w:tcW w:w="604" w:type="dxa"/>
            <w:vAlign w:val="center"/>
          </w:tcPr>
          <w:p w14:paraId="7282D766">
            <w:pPr>
              <w:spacing w:line="360" w:lineRule="auto"/>
              <w:jc w:val="center"/>
              <w:rPr>
                <w:rFonts w:ascii="Times New Roman Regular" w:hAnsi="Times New Roman Regular" w:cs="Times New Roman Regular"/>
                <w:sz w:val="24"/>
              </w:rPr>
            </w:pPr>
            <w:r>
              <w:rPr>
                <w:rFonts w:ascii="Times New Roman Regular" w:hAnsi="Times New Roman Regular" w:cs="Times New Roman Regular"/>
                <w:sz w:val="24"/>
              </w:rPr>
              <w:t>I</w:t>
            </w:r>
            <w:r>
              <w:rPr>
                <w:rFonts w:hint="eastAsia" w:ascii="Times New Roman Regular" w:hAnsi="Times New Roman Regular" w:cs="Times New Roman Regular"/>
                <w:sz w:val="24"/>
              </w:rPr>
              <w:t>ndex</w:t>
            </w:r>
          </w:p>
        </w:tc>
        <w:tc>
          <w:tcPr>
            <w:tcW w:w="918" w:type="dxa"/>
            <w:vAlign w:val="center"/>
          </w:tcPr>
          <w:p w14:paraId="208E59EB">
            <w:pPr>
              <w:spacing w:line="360" w:lineRule="auto"/>
              <w:jc w:val="center"/>
              <w:rPr>
                <w:rFonts w:ascii="Times New Roman Regular" w:hAnsi="Times New Roman Regular" w:cs="Times New Roman Regular"/>
                <w:sz w:val="24"/>
              </w:rPr>
            </w:pPr>
            <w:r>
              <w:rPr>
                <w:rFonts w:ascii="Times New Roman Regular" w:hAnsi="Times New Roman Regular" w:cs="Times New Roman Regular"/>
                <w:sz w:val="24"/>
              </w:rPr>
              <w:t>Climatology</w:t>
            </w:r>
          </w:p>
        </w:tc>
        <w:tc>
          <w:tcPr>
            <w:tcW w:w="988" w:type="dxa"/>
            <w:vAlign w:val="center"/>
          </w:tcPr>
          <w:p w14:paraId="101C5B93">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X</w:t>
            </w:r>
            <w:r>
              <w:rPr>
                <w:rFonts w:ascii="Times New Roman Regular" w:hAnsi="Times New Roman Regular" w:cs="Times New Roman Regular"/>
                <w:sz w:val="24"/>
              </w:rPr>
              <w:t>BT</w:t>
            </w:r>
            <w:r>
              <w:rPr>
                <w:rFonts w:hint="eastAsia" w:ascii="Times New Roman Regular" w:hAnsi="Times New Roman Regular" w:cs="Times New Roman Regular"/>
                <w:sz w:val="24"/>
              </w:rPr>
              <w:t xml:space="preserve"> </w:t>
            </w:r>
            <w:r>
              <w:rPr>
                <w:rFonts w:ascii="Times New Roman Regular" w:hAnsi="Times New Roman Regular" w:cs="Times New Roman Regular"/>
                <w:sz w:val="24"/>
              </w:rPr>
              <w:t>correction</w:t>
            </w:r>
          </w:p>
        </w:tc>
        <w:tc>
          <w:tcPr>
            <w:tcW w:w="1126" w:type="dxa"/>
            <w:vAlign w:val="center"/>
          </w:tcPr>
          <w:p w14:paraId="2AF1C9A8">
            <w:pPr>
              <w:spacing w:line="360" w:lineRule="auto"/>
              <w:jc w:val="center"/>
              <w:rPr>
                <w:rFonts w:ascii="Times New Roman Regular" w:hAnsi="Times New Roman Regular" w:cs="Times New Roman Regular"/>
                <w:sz w:val="24"/>
              </w:rPr>
            </w:pPr>
            <w:r>
              <w:rPr>
                <w:rFonts w:ascii="Times New Roman Regular" w:hAnsi="Times New Roman Regular" w:cs="Times New Roman Regular"/>
                <w:sz w:val="24"/>
              </w:rPr>
              <w:t>Vertical interpolation</w:t>
            </w:r>
          </w:p>
        </w:tc>
        <w:tc>
          <w:tcPr>
            <w:tcW w:w="988" w:type="dxa"/>
            <w:vAlign w:val="center"/>
          </w:tcPr>
          <w:p w14:paraId="18D1EECD">
            <w:pPr>
              <w:spacing w:line="360" w:lineRule="auto"/>
              <w:jc w:val="center"/>
              <w:rPr>
                <w:rFonts w:ascii="Times New Roman Regular" w:hAnsi="Times New Roman Regular" w:cs="Times New Roman Regular"/>
                <w:sz w:val="24"/>
              </w:rPr>
            </w:pPr>
            <w:r>
              <w:rPr>
                <w:rFonts w:ascii="Times New Roman Regular" w:hAnsi="Times New Roman Regular" w:cs="Times New Roman Regular"/>
                <w:sz w:val="24"/>
              </w:rPr>
              <w:t>Quality control</w:t>
            </w:r>
          </w:p>
        </w:tc>
        <w:tc>
          <w:tcPr>
            <w:tcW w:w="1140" w:type="dxa"/>
            <w:vAlign w:val="center"/>
          </w:tcPr>
          <w:p w14:paraId="48C2EDDD">
            <w:pPr>
              <w:spacing w:line="360" w:lineRule="auto"/>
              <w:jc w:val="center"/>
              <w:rPr>
                <w:rFonts w:ascii="Times New Roman Regular" w:hAnsi="Times New Roman Regular" w:cs="Times New Roman Regular"/>
                <w:sz w:val="24"/>
              </w:rPr>
            </w:pPr>
            <w:r>
              <w:rPr>
                <w:rFonts w:ascii="Times New Roman Regular" w:hAnsi="Times New Roman Regular" w:cs="Times New Roman Regular"/>
                <w:sz w:val="24"/>
              </w:rPr>
              <w:t>Bottle correction</w:t>
            </w:r>
          </w:p>
        </w:tc>
        <w:tc>
          <w:tcPr>
            <w:tcW w:w="1044" w:type="dxa"/>
            <w:vAlign w:val="center"/>
          </w:tcPr>
          <w:p w14:paraId="792C0462">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A</w:t>
            </w:r>
            <w:r>
              <w:rPr>
                <w:rFonts w:ascii="Times New Roman Regular" w:hAnsi="Times New Roman Regular" w:cs="Times New Roman Regular"/>
                <w:sz w:val="24"/>
              </w:rPr>
              <w:t>PB correction</w:t>
            </w:r>
          </w:p>
        </w:tc>
        <w:tc>
          <w:tcPr>
            <w:tcW w:w="820" w:type="dxa"/>
            <w:vAlign w:val="center"/>
          </w:tcPr>
          <w:p w14:paraId="28B12049">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M</w:t>
            </w:r>
            <w:r>
              <w:rPr>
                <w:rFonts w:ascii="Times New Roman Regular" w:hAnsi="Times New Roman Regular" w:cs="Times New Roman Regular"/>
                <w:sz w:val="24"/>
              </w:rPr>
              <w:t>BT correction</w:t>
            </w:r>
          </w:p>
        </w:tc>
        <w:tc>
          <w:tcPr>
            <w:tcW w:w="2022" w:type="dxa"/>
            <w:vAlign w:val="center"/>
          </w:tcPr>
          <w:p w14:paraId="2E304D96">
            <w:pPr>
              <w:spacing w:line="360" w:lineRule="auto"/>
              <w:jc w:val="center"/>
              <w:rPr>
                <w:rFonts w:ascii="Times New Roman Regular" w:hAnsi="Times New Roman Regular" w:cs="Times New Roman Regular"/>
                <w:sz w:val="24"/>
              </w:rPr>
            </w:pPr>
            <w:r>
              <w:rPr>
                <w:rFonts w:ascii="Times New Roman Regular" w:hAnsi="Times New Roman Regular" w:cs="Times New Roman Regular"/>
                <w:sz w:val="24"/>
              </w:rPr>
              <w:t>Sampling/mapping and instrumental errors</w:t>
            </w:r>
          </w:p>
        </w:tc>
      </w:tr>
      <w:tr w14:paraId="24BC7309">
        <w:trPr>
          <w:trHeight w:val="889" w:hRule="atLeast"/>
        </w:trPr>
        <w:tc>
          <w:tcPr>
            <w:tcW w:w="604" w:type="dxa"/>
            <w:vAlign w:val="center"/>
          </w:tcPr>
          <w:p w14:paraId="15632519">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1</w:t>
            </w:r>
          </w:p>
        </w:tc>
        <w:tc>
          <w:tcPr>
            <w:tcW w:w="918" w:type="dxa"/>
            <w:vAlign w:val="center"/>
          </w:tcPr>
          <w:p w14:paraId="1792E18A">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IAP</w:t>
            </w:r>
          </w:p>
        </w:tc>
        <w:tc>
          <w:tcPr>
            <w:tcW w:w="988" w:type="dxa"/>
            <w:vAlign w:val="center"/>
          </w:tcPr>
          <w:p w14:paraId="78E31A1C">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CH14</w:t>
            </w:r>
          </w:p>
        </w:tc>
        <w:tc>
          <w:tcPr>
            <w:tcW w:w="1126" w:type="dxa"/>
            <w:vAlign w:val="center"/>
          </w:tcPr>
          <w:p w14:paraId="3B6DA01B">
            <w:pPr>
              <w:spacing w:line="360" w:lineRule="auto"/>
              <w:jc w:val="center"/>
              <w:rPr>
                <w:rFonts w:ascii="Times New Roman Regular" w:hAnsi="Times New Roman Regular" w:cs="Times New Roman Regular"/>
                <w:sz w:val="24"/>
              </w:rPr>
            </w:pPr>
            <w:r>
              <w:rPr>
                <w:rFonts w:ascii="Times New Roman Regular" w:hAnsi="Times New Roman Regular" w:cs="Times New Roman Regular"/>
                <w:sz w:val="24"/>
              </w:rPr>
              <w:t>RRa</w:t>
            </w:r>
          </w:p>
        </w:tc>
        <w:tc>
          <w:tcPr>
            <w:tcW w:w="988" w:type="dxa"/>
            <w:vAlign w:val="center"/>
          </w:tcPr>
          <w:p w14:paraId="77A3F011">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CODC</w:t>
            </w:r>
          </w:p>
        </w:tc>
        <w:tc>
          <w:tcPr>
            <w:tcW w:w="1140" w:type="dxa"/>
            <w:vAlign w:val="center"/>
          </w:tcPr>
          <w:p w14:paraId="3AEED952">
            <w:pPr>
              <w:numPr>
                <w:ilvl w:val="255"/>
                <w:numId w:val="0"/>
              </w:numPr>
              <w:spacing w:line="360" w:lineRule="auto"/>
              <w:jc w:val="center"/>
              <w:rPr>
                <w:rFonts w:ascii="Times New Roman Regular" w:hAnsi="Times New Roman Regular" w:cs="Times New Roman Regular"/>
                <w:sz w:val="24"/>
              </w:rPr>
            </w:pPr>
            <w:r>
              <w:rPr>
                <w:rFonts w:ascii="Times New Roman Regular" w:hAnsi="Times New Roman Regular" w:cs="Times New Roman Regular"/>
                <w:color w:val="000000" w:themeColor="text1"/>
                <w:sz w:val="24"/>
                <w14:textFill>
                  <w14:solidFill>
                    <w14:schemeClr w14:val="tx1"/>
                  </w14:solidFill>
                </w14:textFill>
              </w:rPr>
              <w:t>GCB22</w:t>
            </w:r>
          </w:p>
        </w:tc>
        <w:tc>
          <w:tcPr>
            <w:tcW w:w="1044" w:type="dxa"/>
            <w:vAlign w:val="center"/>
          </w:tcPr>
          <w:p w14:paraId="6EB8E82D">
            <w:pPr>
              <w:numPr>
                <w:ilvl w:val="255"/>
                <w:numId w:val="0"/>
              </w:numPr>
              <w:spacing w:line="360" w:lineRule="auto"/>
              <w:jc w:val="center"/>
              <w:rPr>
                <w:rFonts w:ascii="Times New Roman Regular" w:hAnsi="Times New Roman Regular" w:cs="Times New Roman Regular"/>
                <w:sz w:val="24"/>
              </w:rPr>
            </w:pPr>
            <w:r>
              <w:rPr>
                <w:rFonts w:ascii="Times New Roman Regular" w:hAnsi="Times New Roman Regular" w:cs="Times New Roman Regular"/>
                <w:color w:val="000000" w:themeColor="text1"/>
                <w:sz w:val="24"/>
                <w14:textFill>
                  <w14:solidFill>
                    <w14:schemeClr w14:val="tx1"/>
                  </w14:solidFill>
                </w14:textFill>
              </w:rPr>
              <w:t>GRC23</w:t>
            </w:r>
          </w:p>
        </w:tc>
        <w:tc>
          <w:tcPr>
            <w:tcW w:w="820" w:type="dxa"/>
            <w:vAlign w:val="center"/>
          </w:tcPr>
          <w:p w14:paraId="1B5356B8">
            <w:pPr>
              <w:numPr>
                <w:ilvl w:val="255"/>
                <w:numId w:val="0"/>
              </w:numPr>
              <w:spacing w:line="360" w:lineRule="auto"/>
              <w:jc w:val="center"/>
              <w:rPr>
                <w:rFonts w:ascii="Times New Roman Regular" w:hAnsi="Times New Roman Regular" w:cs="Times New Roman Regular"/>
                <w:sz w:val="24"/>
              </w:rPr>
            </w:pPr>
            <w:r>
              <w:rPr>
                <w:rFonts w:ascii="Times New Roman Regular" w:hAnsi="Times New Roman Regular" w:cs="Times New Roman Regular"/>
                <w:color w:val="000000" w:themeColor="text1"/>
                <w:sz w:val="24"/>
                <w14:textFill>
                  <w14:solidFill>
                    <w14:schemeClr w14:val="tx1"/>
                  </w14:solidFill>
                </w14:textFill>
              </w:rPr>
              <w:t>GC20</w:t>
            </w:r>
          </w:p>
        </w:tc>
        <w:tc>
          <w:tcPr>
            <w:tcW w:w="2022" w:type="dxa"/>
            <w:vMerge w:val="restart"/>
            <w:shd w:val="clear" w:color="auto" w:fill="auto"/>
            <w:vAlign w:val="center"/>
          </w:tcPr>
          <w:p w14:paraId="4ADD3EBB">
            <w:pPr>
              <w:spacing w:line="360" w:lineRule="auto"/>
              <w:jc w:val="center"/>
              <w:rPr>
                <w:rFonts w:ascii="Times New Roman Regular" w:hAnsi="Times New Roman Regular" w:cs="Times New Roman Regular"/>
                <w:sz w:val="24"/>
              </w:rPr>
            </w:pPr>
            <w:r>
              <w:rPr>
                <w:rFonts w:ascii="Times New Roman Regular" w:hAnsi="Times New Roman Regular" w:cs="Times New Roman Regular"/>
                <w:sz w:val="24"/>
              </w:rPr>
              <w:t>1 ensemble member</w:t>
            </w:r>
            <w:r>
              <w:rPr>
                <w:rFonts w:hint="eastAsia" w:ascii="Times New Roman Regular" w:hAnsi="Times New Roman Regular" w:cs="Times New Roman Regular"/>
                <w:color w:val="000000" w:themeColor="text1"/>
                <w:sz w:val="24"/>
                <w14:textFill>
                  <w14:solidFill>
                    <w14:schemeClr w14:val="tx1"/>
                  </w14:solidFill>
                </w14:textFill>
              </w:rPr>
              <w:t xml:space="preserve"> </w:t>
            </w:r>
            <w:r>
              <w:rPr>
                <w:rFonts w:ascii="Times New Roman Regular" w:hAnsi="Times New Roman Regular" w:cs="Times New Roman Regular"/>
                <w:color w:val="000000" w:themeColor="text1"/>
                <w:sz w:val="24"/>
                <w14:textFill>
                  <w14:solidFill>
                    <w14:schemeClr w14:val="tx1"/>
                  </w14:solidFill>
                </w14:textFill>
              </w:rPr>
              <w:t xml:space="preserve">out of the 9 </w:t>
            </w:r>
            <w:r>
              <w:rPr>
                <w:rFonts w:hint="eastAsia" w:ascii="Times New Roman Regular" w:hAnsi="Times New Roman Regular" w:cs="Times New Roman Regular"/>
                <w:color w:val="000000" w:themeColor="text1"/>
                <w:sz w:val="24"/>
                <w14:textFill>
                  <w14:solidFill>
                    <w14:schemeClr w14:val="tx1"/>
                  </w14:solidFill>
                </w14:textFill>
              </w:rPr>
              <w:t>EnOI</w:t>
            </w:r>
            <w:r>
              <w:rPr>
                <w:rFonts w:ascii="Times New Roman Regular" w:hAnsi="Times New Roman Regular" w:cs="Times New Roman Regular"/>
                <w:color w:val="000000" w:themeColor="text1"/>
                <w:sz w:val="24"/>
                <w14:textFill>
                  <w14:solidFill>
                    <w14:schemeClr w14:val="tx1"/>
                  </w14:solidFill>
                </w14:textFill>
              </w:rPr>
              <w:t xml:space="preserve"> analysis</w:t>
            </w:r>
          </w:p>
        </w:tc>
      </w:tr>
      <w:tr w14:paraId="6AB3DEFA">
        <w:trPr>
          <w:trHeight w:val="889" w:hRule="atLeast"/>
        </w:trPr>
        <w:tc>
          <w:tcPr>
            <w:tcW w:w="604" w:type="dxa"/>
          </w:tcPr>
          <w:p w14:paraId="6C95F7B5">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2</w:t>
            </w:r>
          </w:p>
        </w:tc>
        <w:tc>
          <w:tcPr>
            <w:tcW w:w="918" w:type="dxa"/>
          </w:tcPr>
          <w:p w14:paraId="504CD9FB">
            <w:pPr>
              <w:spacing w:line="360" w:lineRule="auto"/>
              <w:jc w:val="center"/>
              <w:rPr>
                <w:rFonts w:ascii="Times New Roman Regular" w:hAnsi="Times New Roman Regular" w:cs="Times New Roman Regular"/>
                <w:sz w:val="24"/>
              </w:rPr>
            </w:pPr>
            <w:r>
              <w:rPr>
                <w:rFonts w:ascii="Times New Roman Regular" w:hAnsi="Times New Roman Regular" w:cs="Times New Roman Regular"/>
                <w:sz w:val="24"/>
              </w:rPr>
              <w:t>WAGHC</w:t>
            </w:r>
          </w:p>
        </w:tc>
        <w:tc>
          <w:tcPr>
            <w:tcW w:w="988" w:type="dxa"/>
          </w:tcPr>
          <w:p w14:paraId="2F535C82">
            <w:pPr>
              <w:spacing w:line="360" w:lineRule="auto"/>
              <w:jc w:val="center"/>
              <w:rPr>
                <w:rFonts w:ascii="Times New Roman Regular" w:hAnsi="Times New Roman Regular" w:cs="Times New Roman Regular"/>
                <w:sz w:val="24"/>
              </w:rPr>
            </w:pPr>
            <w:r>
              <w:rPr>
                <w:rFonts w:ascii="Times New Roman Regular" w:hAnsi="Times New Roman Regular" w:cs="Times New Roman Regular"/>
                <w:sz w:val="24"/>
              </w:rPr>
              <w:t>L</w:t>
            </w:r>
            <w:r>
              <w:rPr>
                <w:rFonts w:hint="eastAsia" w:ascii="Times New Roman Regular" w:hAnsi="Times New Roman Regular" w:cs="Times New Roman Regular"/>
                <w:sz w:val="24"/>
              </w:rPr>
              <w:t>09</w:t>
            </w:r>
          </w:p>
        </w:tc>
        <w:tc>
          <w:tcPr>
            <w:tcW w:w="1126" w:type="dxa"/>
          </w:tcPr>
          <w:p w14:paraId="2C10B767">
            <w:pPr>
              <w:spacing w:line="360" w:lineRule="auto"/>
              <w:jc w:val="center"/>
              <w:rPr>
                <w:rFonts w:ascii="Times New Roman Regular" w:hAnsi="Times New Roman Regular" w:cs="Times New Roman Regular"/>
                <w:sz w:val="24"/>
              </w:rPr>
            </w:pPr>
            <w:r>
              <w:rPr>
                <w:rFonts w:ascii="Times New Roman Regular" w:hAnsi="Times New Roman Regular" w:cs="Times New Roman Regular"/>
                <w:sz w:val="24"/>
              </w:rPr>
              <w:t>PCHIP</w:t>
            </w:r>
          </w:p>
        </w:tc>
        <w:tc>
          <w:tcPr>
            <w:tcW w:w="988" w:type="dxa"/>
          </w:tcPr>
          <w:p w14:paraId="1858AB89">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WOD</w:t>
            </w:r>
          </w:p>
        </w:tc>
        <w:tc>
          <w:tcPr>
            <w:tcW w:w="1140" w:type="dxa"/>
          </w:tcPr>
          <w:p w14:paraId="51B3A899">
            <w:pPr>
              <w:numPr>
                <w:ilvl w:val="255"/>
                <w:numId w:val="0"/>
              </w:numPr>
              <w:spacing w:line="360" w:lineRule="auto"/>
              <w:jc w:val="center"/>
              <w:rPr>
                <w:rFonts w:ascii="Times New Roman Regular" w:hAnsi="Times New Roman Regular" w:cs="Times New Roman Regular"/>
                <w:sz w:val="24"/>
              </w:rPr>
            </w:pPr>
            <w:r>
              <w:rPr>
                <w:rFonts w:ascii="Times New Roman Regular" w:hAnsi="Times New Roman Regular" w:cs="Times New Roman Regular"/>
                <w:color w:val="000000" w:themeColor="text1"/>
                <w:sz w:val="24"/>
                <w14:textFill>
                  <w14:solidFill>
                    <w14:schemeClr w14:val="tx1"/>
                  </w14:solidFill>
                </w14:textFill>
              </w:rPr>
              <w:t>GCB22-Lower</w:t>
            </w:r>
          </w:p>
        </w:tc>
        <w:tc>
          <w:tcPr>
            <w:tcW w:w="1044" w:type="dxa"/>
          </w:tcPr>
          <w:p w14:paraId="6CF6FBD2">
            <w:pPr>
              <w:numPr>
                <w:ilvl w:val="255"/>
                <w:numId w:val="0"/>
              </w:numPr>
              <w:spacing w:line="360" w:lineRule="auto"/>
              <w:jc w:val="center"/>
              <w:rPr>
                <w:rFonts w:ascii="Times New Roman Regular" w:hAnsi="Times New Roman Regular" w:cs="Times New Roman Regular"/>
                <w:sz w:val="24"/>
              </w:rPr>
            </w:pPr>
            <w:r>
              <w:rPr>
                <w:rFonts w:ascii="Times New Roman Regular" w:hAnsi="Times New Roman Regular" w:cs="Times New Roman Regular"/>
                <w:color w:val="000000" w:themeColor="text1"/>
                <w:sz w:val="24"/>
                <w14:textFill>
                  <w14:solidFill>
                    <w14:schemeClr w14:val="tx1"/>
                  </w14:solidFill>
                </w14:textFill>
              </w:rPr>
              <w:t>GRC23-Lower</w:t>
            </w:r>
          </w:p>
        </w:tc>
        <w:tc>
          <w:tcPr>
            <w:tcW w:w="820" w:type="dxa"/>
          </w:tcPr>
          <w:p w14:paraId="43433DFA">
            <w:pPr>
              <w:spacing w:line="360" w:lineRule="auto"/>
              <w:jc w:val="center"/>
              <w:rPr>
                <w:rFonts w:ascii="Times New Roman Regular" w:hAnsi="Times New Roman Regular" w:cs="Times New Roman Regular"/>
                <w:sz w:val="24"/>
              </w:rPr>
            </w:pPr>
            <w:r>
              <w:rPr>
                <w:rFonts w:ascii="Times New Roman Regular" w:hAnsi="Times New Roman Regular" w:cs="Times New Roman Regular"/>
                <w:sz w:val="24"/>
              </w:rPr>
              <w:t>IK09</w:t>
            </w:r>
          </w:p>
        </w:tc>
        <w:tc>
          <w:tcPr>
            <w:tcW w:w="2022" w:type="dxa"/>
            <w:vMerge w:val="continue"/>
          </w:tcPr>
          <w:p w14:paraId="05AD76D1">
            <w:pPr>
              <w:spacing w:line="360" w:lineRule="auto"/>
              <w:rPr>
                <w:rFonts w:ascii="Times New Roman Regular" w:hAnsi="Times New Roman Regular" w:cs="Times New Roman Regular"/>
                <w:sz w:val="24"/>
              </w:rPr>
            </w:pPr>
          </w:p>
        </w:tc>
      </w:tr>
      <w:tr w14:paraId="7E98D1B7">
        <w:trPr>
          <w:trHeight w:val="889" w:hRule="atLeast"/>
        </w:trPr>
        <w:tc>
          <w:tcPr>
            <w:tcW w:w="604" w:type="dxa"/>
          </w:tcPr>
          <w:p w14:paraId="117E1FB9">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3</w:t>
            </w:r>
          </w:p>
        </w:tc>
        <w:tc>
          <w:tcPr>
            <w:tcW w:w="918" w:type="dxa"/>
          </w:tcPr>
          <w:p w14:paraId="2E93BC32">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W</w:t>
            </w:r>
            <w:r>
              <w:rPr>
                <w:rFonts w:ascii="Times New Roman Regular" w:hAnsi="Times New Roman Regular" w:cs="Times New Roman Regular"/>
                <w:sz w:val="24"/>
              </w:rPr>
              <w:t>O</w:t>
            </w:r>
            <w:r>
              <w:rPr>
                <w:rFonts w:hint="eastAsia" w:ascii="Times New Roman Regular" w:hAnsi="Times New Roman Regular" w:cs="Times New Roman Regular"/>
                <w:sz w:val="24"/>
              </w:rPr>
              <w:t>A</w:t>
            </w:r>
            <w:r>
              <w:rPr>
                <w:rFonts w:ascii="Times New Roman Regular" w:hAnsi="Times New Roman Regular" w:cs="Times New Roman Regular"/>
                <w:sz w:val="24"/>
              </w:rPr>
              <w:t>23</w:t>
            </w:r>
          </w:p>
        </w:tc>
        <w:tc>
          <w:tcPr>
            <w:tcW w:w="988" w:type="dxa"/>
          </w:tcPr>
          <w:p w14:paraId="74A7A8A5">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GR10</w:t>
            </w:r>
          </w:p>
        </w:tc>
        <w:tc>
          <w:tcPr>
            <w:tcW w:w="1126" w:type="dxa"/>
          </w:tcPr>
          <w:p w14:paraId="5EFDC404">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RR</w:t>
            </w:r>
          </w:p>
        </w:tc>
        <w:tc>
          <w:tcPr>
            <w:tcW w:w="988" w:type="dxa"/>
          </w:tcPr>
          <w:p w14:paraId="4855B3E1">
            <w:pPr>
              <w:spacing w:line="360" w:lineRule="auto"/>
              <w:jc w:val="center"/>
              <w:rPr>
                <w:rFonts w:ascii="Times New Roman Regular" w:hAnsi="Times New Roman Regular" w:cs="Times New Roman Regular"/>
                <w:sz w:val="24"/>
              </w:rPr>
            </w:pPr>
          </w:p>
        </w:tc>
        <w:tc>
          <w:tcPr>
            <w:tcW w:w="1140" w:type="dxa"/>
          </w:tcPr>
          <w:p w14:paraId="7D624DEB">
            <w:pPr>
              <w:spacing w:line="360" w:lineRule="auto"/>
              <w:jc w:val="center"/>
              <w:rPr>
                <w:rFonts w:ascii="Times New Roman Regular" w:hAnsi="Times New Roman Regular" w:cs="Times New Roman Regular"/>
                <w:sz w:val="24"/>
              </w:rPr>
            </w:pPr>
            <w:r>
              <w:rPr>
                <w:rFonts w:ascii="Times New Roman Regular" w:hAnsi="Times New Roman Regular" w:cs="Times New Roman Regular"/>
                <w:color w:val="000000" w:themeColor="text1"/>
                <w:sz w:val="24"/>
                <w14:textFill>
                  <w14:solidFill>
                    <w14:schemeClr w14:val="tx1"/>
                  </w14:solidFill>
                </w14:textFill>
              </w:rPr>
              <w:t>GCB22-Upper</w:t>
            </w:r>
          </w:p>
        </w:tc>
        <w:tc>
          <w:tcPr>
            <w:tcW w:w="1044" w:type="dxa"/>
          </w:tcPr>
          <w:p w14:paraId="03C1C365">
            <w:pPr>
              <w:spacing w:line="360" w:lineRule="auto"/>
              <w:jc w:val="center"/>
              <w:rPr>
                <w:rFonts w:ascii="Times New Roman Regular" w:hAnsi="Times New Roman Regular" w:cs="Times New Roman Regular"/>
                <w:sz w:val="24"/>
              </w:rPr>
            </w:pPr>
            <w:r>
              <w:rPr>
                <w:rFonts w:ascii="Times New Roman Regular" w:hAnsi="Times New Roman Regular" w:cs="Times New Roman Regular"/>
                <w:color w:val="000000" w:themeColor="text1"/>
                <w:sz w:val="24"/>
                <w14:textFill>
                  <w14:solidFill>
                    <w14:schemeClr w14:val="tx1"/>
                  </w14:solidFill>
                </w14:textFill>
              </w:rPr>
              <w:t>GRC23-Upper</w:t>
            </w:r>
          </w:p>
        </w:tc>
        <w:tc>
          <w:tcPr>
            <w:tcW w:w="820" w:type="dxa"/>
          </w:tcPr>
          <w:p w14:paraId="3B71BA21">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GR10</w:t>
            </w:r>
          </w:p>
        </w:tc>
        <w:tc>
          <w:tcPr>
            <w:tcW w:w="2022" w:type="dxa"/>
            <w:vMerge w:val="continue"/>
          </w:tcPr>
          <w:p w14:paraId="14FE65EC">
            <w:pPr>
              <w:spacing w:line="360" w:lineRule="auto"/>
              <w:rPr>
                <w:rFonts w:ascii="Times New Roman Regular" w:hAnsi="Times New Roman Regular" w:cs="Times New Roman Regular"/>
                <w:sz w:val="24"/>
              </w:rPr>
            </w:pPr>
          </w:p>
        </w:tc>
      </w:tr>
    </w:tbl>
    <w:p w14:paraId="3699DBA9">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T</w:t>
      </w:r>
      <w:r>
        <w:rPr>
          <w:rFonts w:ascii="Times New Roman Regular" w:hAnsi="Times New Roman Regular" w:cs="Times New Roman Regular"/>
          <w:sz w:val="24"/>
        </w:rPr>
        <w:t>he IAPv4 central estimate is based on the combination of 11311111 (i.e., using IAP climatology, CH14 XBT correctio</w:t>
      </w:r>
      <w:r>
        <w:rPr>
          <w:rFonts w:hint="eastAsia" w:ascii="Times New Roman Regular" w:hAnsi="Times New Roman Regular" w:cs="Times New Roman Regular"/>
          <w:sz w:val="24"/>
        </w:rPr>
        <w:t>n</w:t>
      </w:r>
      <w:r>
        <w:rPr>
          <w:rFonts w:ascii="Times New Roman Regular" w:hAnsi="Times New Roman Regular" w:cs="Times New Roman Regular"/>
          <w:sz w:val="24"/>
        </w:rPr>
        <w:t>, RR vertical interpolation scheme, CODC quality control scheme, GCB22-Mean bottle correction scheme, GRC23-Mean APB correction scheme, GC20 MBT correction scheme, and the ensemble mean of the EnOI mapping an</w:t>
      </w:r>
      <w:r>
        <w:rPr>
          <w:rFonts w:hint="eastAsia" w:ascii="Times New Roman Regular" w:hAnsi="Times New Roman Regular" w:cs="Times New Roman Regular"/>
          <w:sz w:val="24"/>
        </w:rPr>
        <w:t>al</w:t>
      </w:r>
      <w:r>
        <w:rPr>
          <w:rFonts w:ascii="Times New Roman Regular" w:hAnsi="Times New Roman Regular" w:cs="Times New Roman Regular"/>
          <w:sz w:val="24"/>
        </w:rPr>
        <w:t xml:space="preserve">ysis field. These methods are assessed as the state-of-the-art techniques). </w:t>
      </w:r>
    </w:p>
    <w:p w14:paraId="6D5AB1D5">
      <w:pPr>
        <w:spacing w:line="360" w:lineRule="auto"/>
        <w:rPr>
          <w:rFonts w:ascii="Times New Roman Regular" w:hAnsi="Times New Roman Regular" w:cs="Times New Roman Regular"/>
          <w:sz w:val="24"/>
        </w:rPr>
      </w:pPr>
    </w:p>
    <w:p w14:paraId="7A427EB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表1：IAPv4大集合成员索引说明</w:t>
      </w:r>
    </w:p>
    <w:tbl>
      <w:tblPr>
        <w:tblStyle w:val="12"/>
        <w:tblW w:w="9313"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
        <w:gridCol w:w="1095"/>
        <w:gridCol w:w="855"/>
        <w:gridCol w:w="1017"/>
        <w:gridCol w:w="1105"/>
        <w:gridCol w:w="1276"/>
        <w:gridCol w:w="1134"/>
        <w:gridCol w:w="1031"/>
        <w:gridCol w:w="1335"/>
      </w:tblGrid>
      <w:tr w14:paraId="39E19CAD">
        <w:trPr>
          <w:trHeight w:val="1258" w:hRule="atLeast"/>
        </w:trPr>
        <w:tc>
          <w:tcPr>
            <w:tcW w:w="465" w:type="dxa"/>
            <w:vAlign w:val="center"/>
          </w:tcPr>
          <w:p w14:paraId="4887C071">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序号</w:t>
            </w:r>
          </w:p>
        </w:tc>
        <w:tc>
          <w:tcPr>
            <w:tcW w:w="1095" w:type="dxa"/>
            <w:vAlign w:val="center"/>
          </w:tcPr>
          <w:p w14:paraId="64895A8F">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气候态</w:t>
            </w:r>
          </w:p>
        </w:tc>
        <w:tc>
          <w:tcPr>
            <w:tcW w:w="855" w:type="dxa"/>
            <w:vAlign w:val="center"/>
          </w:tcPr>
          <w:p w14:paraId="52D07998">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X</w:t>
            </w:r>
            <w:r>
              <w:rPr>
                <w:rFonts w:ascii="Times New Roman Regular" w:hAnsi="Times New Roman Regular" w:cs="Times New Roman Regular"/>
                <w:sz w:val="24"/>
              </w:rPr>
              <w:t>BT</w:t>
            </w:r>
            <w:r>
              <w:rPr>
                <w:rFonts w:hint="eastAsia" w:ascii="Times New Roman Regular" w:hAnsi="Times New Roman Regular" w:cs="Times New Roman Regular"/>
                <w:sz w:val="24"/>
              </w:rPr>
              <w:t>订正方案</w:t>
            </w:r>
          </w:p>
        </w:tc>
        <w:tc>
          <w:tcPr>
            <w:tcW w:w="1017" w:type="dxa"/>
            <w:vAlign w:val="center"/>
          </w:tcPr>
          <w:p w14:paraId="6AF10B74">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垂向插值方案</w:t>
            </w:r>
          </w:p>
        </w:tc>
        <w:tc>
          <w:tcPr>
            <w:tcW w:w="1105" w:type="dxa"/>
            <w:vAlign w:val="center"/>
          </w:tcPr>
          <w:p w14:paraId="1735AF1B">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质量控制方案</w:t>
            </w:r>
          </w:p>
        </w:tc>
        <w:tc>
          <w:tcPr>
            <w:tcW w:w="1276" w:type="dxa"/>
            <w:vAlign w:val="center"/>
          </w:tcPr>
          <w:p w14:paraId="35E4ADD8">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南森瓶订正方案</w:t>
            </w:r>
          </w:p>
        </w:tc>
        <w:tc>
          <w:tcPr>
            <w:tcW w:w="1134" w:type="dxa"/>
            <w:vAlign w:val="center"/>
          </w:tcPr>
          <w:p w14:paraId="36199B9A">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A</w:t>
            </w:r>
            <w:r>
              <w:rPr>
                <w:rFonts w:ascii="Times New Roman Regular" w:hAnsi="Times New Roman Regular" w:cs="Times New Roman Regular"/>
                <w:sz w:val="24"/>
              </w:rPr>
              <w:t>PB</w:t>
            </w:r>
            <w:r>
              <w:rPr>
                <w:rFonts w:hint="eastAsia" w:ascii="Times New Roman Regular" w:hAnsi="Times New Roman Regular" w:cs="Times New Roman Regular"/>
                <w:sz w:val="24"/>
              </w:rPr>
              <w:t>订正方案</w:t>
            </w:r>
          </w:p>
        </w:tc>
        <w:tc>
          <w:tcPr>
            <w:tcW w:w="1031" w:type="dxa"/>
            <w:vAlign w:val="center"/>
          </w:tcPr>
          <w:p w14:paraId="2F203DDD">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M</w:t>
            </w:r>
            <w:r>
              <w:rPr>
                <w:rFonts w:ascii="Times New Roman Regular" w:hAnsi="Times New Roman Regular" w:cs="Times New Roman Regular"/>
                <w:sz w:val="24"/>
              </w:rPr>
              <w:t xml:space="preserve">BT </w:t>
            </w:r>
            <w:r>
              <w:rPr>
                <w:rFonts w:hint="eastAsia" w:ascii="Times New Roman Regular" w:hAnsi="Times New Roman Regular" w:cs="Times New Roman Regular"/>
                <w:sz w:val="24"/>
              </w:rPr>
              <w:t>订正方案</w:t>
            </w:r>
          </w:p>
        </w:tc>
        <w:tc>
          <w:tcPr>
            <w:tcW w:w="1335" w:type="dxa"/>
          </w:tcPr>
          <w:p w14:paraId="1552F708">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采样/格点化误差和仪器误差</w:t>
            </w:r>
          </w:p>
        </w:tc>
      </w:tr>
      <w:tr w14:paraId="73C5D98D">
        <w:trPr>
          <w:trHeight w:val="880" w:hRule="atLeast"/>
        </w:trPr>
        <w:tc>
          <w:tcPr>
            <w:tcW w:w="465" w:type="dxa"/>
            <w:vAlign w:val="center"/>
          </w:tcPr>
          <w:p w14:paraId="46494EE0">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1</w:t>
            </w:r>
          </w:p>
        </w:tc>
        <w:tc>
          <w:tcPr>
            <w:tcW w:w="1095" w:type="dxa"/>
            <w:shd w:val="clear" w:color="auto" w:fill="auto"/>
            <w:vAlign w:val="center"/>
          </w:tcPr>
          <w:p w14:paraId="32321E7B">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IAP</w:t>
            </w:r>
          </w:p>
        </w:tc>
        <w:tc>
          <w:tcPr>
            <w:tcW w:w="855" w:type="dxa"/>
            <w:shd w:val="clear" w:color="auto" w:fill="auto"/>
            <w:vAlign w:val="center"/>
          </w:tcPr>
          <w:p w14:paraId="2ECDE4ED">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CH14</w:t>
            </w:r>
          </w:p>
        </w:tc>
        <w:tc>
          <w:tcPr>
            <w:tcW w:w="1017" w:type="dxa"/>
            <w:shd w:val="clear" w:color="auto" w:fill="auto"/>
            <w:vAlign w:val="center"/>
          </w:tcPr>
          <w:p w14:paraId="115D59DC">
            <w:pPr>
              <w:spacing w:line="360" w:lineRule="auto"/>
              <w:jc w:val="center"/>
              <w:rPr>
                <w:rFonts w:ascii="Times New Roman Regular" w:hAnsi="Times New Roman Regular" w:cs="Times New Roman Regular"/>
                <w:sz w:val="24"/>
              </w:rPr>
            </w:pPr>
            <w:r>
              <w:rPr>
                <w:rFonts w:ascii="Times New Roman Regular" w:hAnsi="Times New Roman Regular" w:cs="Times New Roman Regular"/>
                <w:sz w:val="24"/>
              </w:rPr>
              <w:t>RRa</w:t>
            </w:r>
          </w:p>
        </w:tc>
        <w:tc>
          <w:tcPr>
            <w:tcW w:w="1105" w:type="dxa"/>
            <w:shd w:val="clear" w:color="auto" w:fill="auto"/>
            <w:vAlign w:val="center"/>
          </w:tcPr>
          <w:p w14:paraId="161F75C8">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CODC</w:t>
            </w:r>
          </w:p>
        </w:tc>
        <w:tc>
          <w:tcPr>
            <w:tcW w:w="1276" w:type="dxa"/>
            <w:shd w:val="clear" w:color="auto" w:fill="auto"/>
            <w:vAlign w:val="center"/>
          </w:tcPr>
          <w:p w14:paraId="62870E00">
            <w:pPr>
              <w:numPr>
                <w:ilvl w:val="255"/>
                <w:numId w:val="0"/>
              </w:numPr>
              <w:spacing w:line="360" w:lineRule="auto"/>
              <w:jc w:val="center"/>
              <w:rPr>
                <w:rFonts w:ascii="Times New Roman Regular" w:hAnsi="Times New Roman Regular" w:cs="Times New Roman Regular"/>
                <w:sz w:val="24"/>
              </w:rPr>
            </w:pPr>
            <w:r>
              <w:rPr>
                <w:rFonts w:ascii="Times New Roman Regular" w:hAnsi="Times New Roman Regular" w:cs="Times New Roman Regular"/>
                <w:color w:val="000000" w:themeColor="text1"/>
                <w:sz w:val="24"/>
                <w14:textFill>
                  <w14:solidFill>
                    <w14:schemeClr w14:val="tx1"/>
                  </w14:solidFill>
                </w14:textFill>
              </w:rPr>
              <w:t>GCB22</w:t>
            </w:r>
          </w:p>
        </w:tc>
        <w:tc>
          <w:tcPr>
            <w:tcW w:w="1134" w:type="dxa"/>
            <w:shd w:val="clear" w:color="auto" w:fill="auto"/>
            <w:vAlign w:val="center"/>
          </w:tcPr>
          <w:p w14:paraId="2C1DD17D">
            <w:pPr>
              <w:numPr>
                <w:ilvl w:val="255"/>
                <w:numId w:val="0"/>
              </w:numPr>
              <w:spacing w:line="360" w:lineRule="auto"/>
              <w:jc w:val="center"/>
              <w:rPr>
                <w:rFonts w:ascii="Times New Roman Regular" w:hAnsi="Times New Roman Regular" w:cs="Times New Roman Regular"/>
                <w:sz w:val="24"/>
              </w:rPr>
            </w:pPr>
            <w:r>
              <w:rPr>
                <w:rFonts w:ascii="Times New Roman Regular" w:hAnsi="Times New Roman Regular" w:cs="Times New Roman Regular"/>
                <w:color w:val="000000" w:themeColor="text1"/>
                <w:sz w:val="24"/>
                <w14:textFill>
                  <w14:solidFill>
                    <w14:schemeClr w14:val="tx1"/>
                  </w14:solidFill>
                </w14:textFill>
              </w:rPr>
              <w:t>GRC23</w:t>
            </w:r>
          </w:p>
        </w:tc>
        <w:tc>
          <w:tcPr>
            <w:tcW w:w="1031" w:type="dxa"/>
            <w:shd w:val="clear" w:color="auto" w:fill="auto"/>
            <w:vAlign w:val="center"/>
          </w:tcPr>
          <w:p w14:paraId="4A0C69D2">
            <w:pPr>
              <w:numPr>
                <w:ilvl w:val="255"/>
                <w:numId w:val="0"/>
              </w:numPr>
              <w:spacing w:line="360" w:lineRule="auto"/>
              <w:jc w:val="center"/>
              <w:rPr>
                <w:rFonts w:ascii="Times New Roman Regular" w:hAnsi="Times New Roman Regular" w:cs="Times New Roman Regular"/>
                <w:sz w:val="24"/>
              </w:rPr>
            </w:pPr>
            <w:r>
              <w:rPr>
                <w:rFonts w:ascii="Times New Roman Regular" w:hAnsi="Times New Roman Regular" w:cs="Times New Roman Regular"/>
                <w:color w:val="000000" w:themeColor="text1"/>
                <w:sz w:val="24"/>
                <w14:textFill>
                  <w14:solidFill>
                    <w14:schemeClr w14:val="tx1"/>
                  </w14:solidFill>
                </w14:textFill>
              </w:rPr>
              <w:t>GC20</w:t>
            </w:r>
          </w:p>
        </w:tc>
        <w:tc>
          <w:tcPr>
            <w:tcW w:w="1335" w:type="dxa"/>
            <w:vMerge w:val="restart"/>
          </w:tcPr>
          <w:p w14:paraId="042DAF17">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从EnOI方法得到的</w:t>
            </w:r>
            <w:r>
              <w:rPr>
                <w:rFonts w:ascii="Times New Roman Regular" w:hAnsi="Times New Roman Regular" w:cs="Times New Roman Regular"/>
                <w:color w:val="000000" w:themeColor="text1"/>
                <w:sz w:val="24"/>
                <w14:textFill>
                  <w14:solidFill>
                    <w14:schemeClr w14:val="tx1"/>
                  </w14:solidFill>
                </w14:textFill>
              </w:rPr>
              <w:t>9</w:t>
            </w:r>
            <w:r>
              <w:rPr>
                <w:rFonts w:hint="eastAsia" w:ascii="Times New Roman Regular" w:hAnsi="Times New Roman Regular" w:cs="Times New Roman Regular"/>
                <w:color w:val="000000" w:themeColor="text1"/>
                <w:sz w:val="24"/>
                <w14:textFill>
                  <w14:solidFill>
                    <w14:schemeClr w14:val="tx1"/>
                  </w14:solidFill>
                </w14:textFill>
              </w:rPr>
              <w:t>个分析场中随机选取一个样本</w:t>
            </w:r>
          </w:p>
        </w:tc>
      </w:tr>
      <w:tr w14:paraId="58AB7DB4">
        <w:trPr>
          <w:trHeight w:val="880" w:hRule="atLeast"/>
        </w:trPr>
        <w:tc>
          <w:tcPr>
            <w:tcW w:w="465" w:type="dxa"/>
            <w:vAlign w:val="center"/>
          </w:tcPr>
          <w:p w14:paraId="1001B9C2">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2</w:t>
            </w:r>
          </w:p>
        </w:tc>
        <w:tc>
          <w:tcPr>
            <w:tcW w:w="1095" w:type="dxa"/>
            <w:shd w:val="clear" w:color="auto" w:fill="auto"/>
            <w:vAlign w:val="center"/>
          </w:tcPr>
          <w:p w14:paraId="0B98FFC4">
            <w:pPr>
              <w:spacing w:line="360" w:lineRule="auto"/>
              <w:jc w:val="center"/>
              <w:rPr>
                <w:rFonts w:ascii="Times New Roman Regular" w:hAnsi="Times New Roman Regular" w:cs="Times New Roman Regular"/>
                <w:sz w:val="24"/>
              </w:rPr>
            </w:pPr>
            <w:r>
              <w:rPr>
                <w:rFonts w:ascii="Times New Roman Regular" w:hAnsi="Times New Roman Regular" w:cs="Times New Roman Regular"/>
                <w:sz w:val="24"/>
              </w:rPr>
              <w:t>WAGHC</w:t>
            </w:r>
          </w:p>
        </w:tc>
        <w:tc>
          <w:tcPr>
            <w:tcW w:w="855" w:type="dxa"/>
            <w:shd w:val="clear" w:color="auto" w:fill="auto"/>
            <w:vAlign w:val="center"/>
          </w:tcPr>
          <w:p w14:paraId="279663AF">
            <w:pPr>
              <w:spacing w:line="360" w:lineRule="auto"/>
              <w:jc w:val="center"/>
              <w:rPr>
                <w:rFonts w:ascii="Times New Roman Regular" w:hAnsi="Times New Roman Regular" w:cs="Times New Roman Regular"/>
                <w:sz w:val="24"/>
              </w:rPr>
            </w:pPr>
            <w:r>
              <w:rPr>
                <w:rFonts w:ascii="Times New Roman Regular" w:hAnsi="Times New Roman Regular" w:cs="Times New Roman Regular"/>
                <w:sz w:val="24"/>
              </w:rPr>
              <w:t>L</w:t>
            </w:r>
            <w:r>
              <w:rPr>
                <w:rFonts w:hint="eastAsia" w:ascii="Times New Roman Regular" w:hAnsi="Times New Roman Regular" w:cs="Times New Roman Regular"/>
                <w:sz w:val="24"/>
              </w:rPr>
              <w:t>09</w:t>
            </w:r>
          </w:p>
        </w:tc>
        <w:tc>
          <w:tcPr>
            <w:tcW w:w="1017" w:type="dxa"/>
            <w:shd w:val="clear" w:color="auto" w:fill="auto"/>
            <w:vAlign w:val="center"/>
          </w:tcPr>
          <w:p w14:paraId="7DC61897">
            <w:pPr>
              <w:spacing w:line="360" w:lineRule="auto"/>
              <w:jc w:val="center"/>
              <w:rPr>
                <w:rFonts w:ascii="Times New Roman Regular" w:hAnsi="Times New Roman Regular" w:cs="Times New Roman Regular"/>
                <w:sz w:val="24"/>
              </w:rPr>
            </w:pPr>
            <w:r>
              <w:rPr>
                <w:rFonts w:ascii="Times New Roman Regular" w:hAnsi="Times New Roman Regular" w:cs="Times New Roman Regular"/>
                <w:sz w:val="24"/>
              </w:rPr>
              <w:t>PCHIP</w:t>
            </w:r>
          </w:p>
        </w:tc>
        <w:tc>
          <w:tcPr>
            <w:tcW w:w="1105" w:type="dxa"/>
            <w:shd w:val="clear" w:color="auto" w:fill="auto"/>
            <w:vAlign w:val="center"/>
          </w:tcPr>
          <w:p w14:paraId="73FAD81D">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WOD</w:t>
            </w:r>
          </w:p>
        </w:tc>
        <w:tc>
          <w:tcPr>
            <w:tcW w:w="1276" w:type="dxa"/>
            <w:shd w:val="clear" w:color="auto" w:fill="auto"/>
            <w:vAlign w:val="center"/>
          </w:tcPr>
          <w:p w14:paraId="6E8BC210">
            <w:pPr>
              <w:numPr>
                <w:ilvl w:val="255"/>
                <w:numId w:val="0"/>
              </w:numPr>
              <w:spacing w:line="360" w:lineRule="auto"/>
              <w:jc w:val="center"/>
              <w:rPr>
                <w:rFonts w:ascii="Times New Roman Regular" w:hAnsi="Times New Roman Regular" w:cs="Times New Roman Regular"/>
                <w:sz w:val="24"/>
              </w:rPr>
            </w:pPr>
            <w:r>
              <w:rPr>
                <w:rFonts w:ascii="Times New Roman Regular" w:hAnsi="Times New Roman Regular" w:cs="Times New Roman Regular"/>
                <w:color w:val="000000" w:themeColor="text1"/>
                <w:sz w:val="24"/>
                <w14:textFill>
                  <w14:solidFill>
                    <w14:schemeClr w14:val="tx1"/>
                  </w14:solidFill>
                </w14:textFill>
              </w:rPr>
              <w:t>GCB22-Lower</w:t>
            </w:r>
          </w:p>
        </w:tc>
        <w:tc>
          <w:tcPr>
            <w:tcW w:w="1134" w:type="dxa"/>
            <w:shd w:val="clear" w:color="auto" w:fill="auto"/>
            <w:vAlign w:val="center"/>
          </w:tcPr>
          <w:p w14:paraId="06E9ABDB">
            <w:pPr>
              <w:numPr>
                <w:ilvl w:val="255"/>
                <w:numId w:val="0"/>
              </w:numPr>
              <w:spacing w:line="360" w:lineRule="auto"/>
              <w:jc w:val="center"/>
              <w:rPr>
                <w:rFonts w:ascii="Times New Roman Regular" w:hAnsi="Times New Roman Regular" w:cs="Times New Roman Regular"/>
                <w:sz w:val="24"/>
              </w:rPr>
            </w:pPr>
            <w:r>
              <w:rPr>
                <w:rFonts w:ascii="Times New Roman Regular" w:hAnsi="Times New Roman Regular" w:cs="Times New Roman Regular"/>
                <w:color w:val="000000" w:themeColor="text1"/>
                <w:sz w:val="24"/>
                <w14:textFill>
                  <w14:solidFill>
                    <w14:schemeClr w14:val="tx1"/>
                  </w14:solidFill>
                </w14:textFill>
              </w:rPr>
              <w:t>GRC23-Lower</w:t>
            </w:r>
          </w:p>
        </w:tc>
        <w:tc>
          <w:tcPr>
            <w:tcW w:w="1031" w:type="dxa"/>
            <w:shd w:val="clear" w:color="auto" w:fill="auto"/>
            <w:vAlign w:val="center"/>
          </w:tcPr>
          <w:p w14:paraId="3249BAB8">
            <w:pPr>
              <w:spacing w:line="360" w:lineRule="auto"/>
              <w:jc w:val="center"/>
              <w:rPr>
                <w:rFonts w:ascii="Times New Roman Regular" w:hAnsi="Times New Roman Regular" w:cs="Times New Roman Regular"/>
                <w:sz w:val="24"/>
              </w:rPr>
            </w:pPr>
            <w:r>
              <w:rPr>
                <w:rFonts w:ascii="Times New Roman Regular" w:hAnsi="Times New Roman Regular" w:cs="Times New Roman Regular"/>
                <w:sz w:val="24"/>
              </w:rPr>
              <w:t>IK09</w:t>
            </w:r>
          </w:p>
        </w:tc>
        <w:tc>
          <w:tcPr>
            <w:tcW w:w="1335" w:type="dxa"/>
            <w:vMerge w:val="continue"/>
          </w:tcPr>
          <w:p w14:paraId="408B7095">
            <w:pPr>
              <w:spacing w:line="360" w:lineRule="auto"/>
              <w:rPr>
                <w:rFonts w:ascii="Times New Roman Regular" w:hAnsi="Times New Roman Regular" w:cs="Times New Roman Regular"/>
                <w:sz w:val="24"/>
              </w:rPr>
            </w:pPr>
          </w:p>
        </w:tc>
      </w:tr>
      <w:tr w14:paraId="3F75BC51">
        <w:trPr>
          <w:trHeight w:val="1308" w:hRule="atLeast"/>
        </w:trPr>
        <w:tc>
          <w:tcPr>
            <w:tcW w:w="465" w:type="dxa"/>
            <w:vAlign w:val="center"/>
          </w:tcPr>
          <w:p w14:paraId="53EDEA36">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3</w:t>
            </w:r>
          </w:p>
        </w:tc>
        <w:tc>
          <w:tcPr>
            <w:tcW w:w="1095" w:type="dxa"/>
            <w:shd w:val="clear" w:color="auto" w:fill="auto"/>
            <w:vAlign w:val="center"/>
          </w:tcPr>
          <w:p w14:paraId="17D00563">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W</w:t>
            </w:r>
            <w:r>
              <w:rPr>
                <w:rFonts w:ascii="Times New Roman Regular" w:hAnsi="Times New Roman Regular" w:cs="Times New Roman Regular"/>
                <w:sz w:val="24"/>
              </w:rPr>
              <w:t>O</w:t>
            </w:r>
            <w:r>
              <w:rPr>
                <w:rFonts w:hint="eastAsia" w:ascii="Times New Roman Regular" w:hAnsi="Times New Roman Regular" w:cs="Times New Roman Regular"/>
                <w:sz w:val="24"/>
              </w:rPr>
              <w:t>A</w:t>
            </w:r>
            <w:r>
              <w:rPr>
                <w:rFonts w:ascii="Times New Roman Regular" w:hAnsi="Times New Roman Regular" w:cs="Times New Roman Regular"/>
                <w:sz w:val="24"/>
              </w:rPr>
              <w:t>23</w:t>
            </w:r>
          </w:p>
        </w:tc>
        <w:tc>
          <w:tcPr>
            <w:tcW w:w="855" w:type="dxa"/>
            <w:shd w:val="clear" w:color="auto" w:fill="auto"/>
            <w:vAlign w:val="center"/>
          </w:tcPr>
          <w:p w14:paraId="644FD72F">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GR10</w:t>
            </w:r>
          </w:p>
        </w:tc>
        <w:tc>
          <w:tcPr>
            <w:tcW w:w="1017" w:type="dxa"/>
            <w:shd w:val="clear" w:color="auto" w:fill="auto"/>
            <w:vAlign w:val="center"/>
          </w:tcPr>
          <w:p w14:paraId="1C839832">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RR</w:t>
            </w:r>
          </w:p>
        </w:tc>
        <w:tc>
          <w:tcPr>
            <w:tcW w:w="1105" w:type="dxa"/>
            <w:shd w:val="clear" w:color="auto" w:fill="auto"/>
            <w:vAlign w:val="center"/>
          </w:tcPr>
          <w:p w14:paraId="1D034608">
            <w:pPr>
              <w:spacing w:line="360" w:lineRule="auto"/>
              <w:jc w:val="center"/>
              <w:rPr>
                <w:rFonts w:ascii="Times New Roman Regular" w:hAnsi="Times New Roman Regular" w:cs="Times New Roman Regular"/>
                <w:sz w:val="24"/>
              </w:rPr>
            </w:pPr>
          </w:p>
        </w:tc>
        <w:tc>
          <w:tcPr>
            <w:tcW w:w="1276" w:type="dxa"/>
            <w:shd w:val="clear" w:color="auto" w:fill="auto"/>
            <w:vAlign w:val="center"/>
          </w:tcPr>
          <w:p w14:paraId="4630DECF">
            <w:pPr>
              <w:spacing w:line="360" w:lineRule="auto"/>
              <w:jc w:val="center"/>
              <w:rPr>
                <w:rFonts w:ascii="Times New Roman Regular" w:hAnsi="Times New Roman Regular" w:cs="Times New Roman Regular"/>
                <w:sz w:val="24"/>
              </w:rPr>
            </w:pPr>
            <w:r>
              <w:rPr>
                <w:rFonts w:ascii="Times New Roman Regular" w:hAnsi="Times New Roman Regular" w:cs="Times New Roman Regular"/>
                <w:color w:val="000000" w:themeColor="text1"/>
                <w:sz w:val="24"/>
                <w14:textFill>
                  <w14:solidFill>
                    <w14:schemeClr w14:val="tx1"/>
                  </w14:solidFill>
                </w14:textFill>
              </w:rPr>
              <w:t>GCB22-Upper</w:t>
            </w:r>
          </w:p>
        </w:tc>
        <w:tc>
          <w:tcPr>
            <w:tcW w:w="1134" w:type="dxa"/>
            <w:shd w:val="clear" w:color="auto" w:fill="auto"/>
            <w:vAlign w:val="center"/>
          </w:tcPr>
          <w:p w14:paraId="2144C664">
            <w:pPr>
              <w:spacing w:line="360" w:lineRule="auto"/>
              <w:jc w:val="center"/>
              <w:rPr>
                <w:rFonts w:ascii="Times New Roman Regular" w:hAnsi="Times New Roman Regular" w:cs="Times New Roman Regular"/>
                <w:sz w:val="24"/>
              </w:rPr>
            </w:pPr>
            <w:r>
              <w:rPr>
                <w:rFonts w:ascii="Times New Roman Regular" w:hAnsi="Times New Roman Regular" w:cs="Times New Roman Regular"/>
                <w:color w:val="000000" w:themeColor="text1"/>
                <w:sz w:val="24"/>
                <w14:textFill>
                  <w14:solidFill>
                    <w14:schemeClr w14:val="tx1"/>
                  </w14:solidFill>
                </w14:textFill>
              </w:rPr>
              <w:t>GRC23-Upper</w:t>
            </w:r>
          </w:p>
        </w:tc>
        <w:tc>
          <w:tcPr>
            <w:tcW w:w="1031" w:type="dxa"/>
            <w:shd w:val="clear" w:color="auto" w:fill="auto"/>
            <w:vAlign w:val="center"/>
          </w:tcPr>
          <w:p w14:paraId="52847BA4">
            <w:pPr>
              <w:spacing w:line="360" w:lineRule="auto"/>
              <w:jc w:val="center"/>
              <w:rPr>
                <w:rFonts w:ascii="Times New Roman Regular" w:hAnsi="Times New Roman Regular" w:cs="Times New Roman Regular"/>
                <w:sz w:val="24"/>
              </w:rPr>
            </w:pPr>
            <w:r>
              <w:rPr>
                <w:rFonts w:hint="eastAsia" w:ascii="Times New Roman Regular" w:hAnsi="Times New Roman Regular" w:cs="Times New Roman Regular"/>
                <w:sz w:val="24"/>
              </w:rPr>
              <w:t>GR10</w:t>
            </w:r>
          </w:p>
        </w:tc>
        <w:tc>
          <w:tcPr>
            <w:tcW w:w="1335" w:type="dxa"/>
            <w:vMerge w:val="continue"/>
          </w:tcPr>
          <w:p w14:paraId="200E9F40">
            <w:pPr>
              <w:spacing w:line="360" w:lineRule="auto"/>
              <w:rPr>
                <w:rFonts w:ascii="Times New Roman Regular" w:hAnsi="Times New Roman Regular" w:cs="Times New Roman Regular"/>
                <w:sz w:val="24"/>
              </w:rPr>
            </w:pPr>
          </w:p>
        </w:tc>
      </w:tr>
    </w:tbl>
    <w:p w14:paraId="24C9B416">
      <w:pPr>
        <w:spacing w:line="360" w:lineRule="auto"/>
        <w:ind w:firstLine="480" w:firstLineChars="200"/>
        <w:rPr>
          <w:rFonts w:ascii="Times New Roman Regular" w:hAnsi="Times New Roman Regular" w:cs="Times New Roman Regular"/>
          <w:sz w:val="24"/>
        </w:rPr>
      </w:pPr>
      <w:r>
        <w:rPr>
          <w:rFonts w:ascii="Times New Roman Regular" w:hAnsi="Times New Roman Regular" w:cs="Times New Roman Regular"/>
          <w:sz w:val="24"/>
        </w:rPr>
        <w:t>IAPv4 的中心估算</w:t>
      </w:r>
      <w:r>
        <w:rPr>
          <w:rFonts w:hint="eastAsia" w:ascii="Times New Roman Regular" w:hAnsi="Times New Roman Regular" w:cs="Times New Roman Regular"/>
          <w:sz w:val="24"/>
        </w:rPr>
        <w:t>（最佳测算）</w:t>
      </w:r>
      <w:r>
        <w:rPr>
          <w:rFonts w:ascii="Times New Roman Regular" w:hAnsi="Times New Roman Regular" w:cs="Times New Roman Regular"/>
          <w:sz w:val="24"/>
        </w:rPr>
        <w:t>是基于 11311111 的组合，即具体采用的构建方案为：IAP气候态数据、CH14 XBT</w:t>
      </w:r>
      <w:r>
        <w:rPr>
          <w:rFonts w:hint="eastAsia" w:ascii="Times New Roman Regular" w:hAnsi="Times New Roman Regular" w:cs="Times New Roman Regular"/>
          <w:sz w:val="24"/>
        </w:rPr>
        <w:t>订正</w:t>
      </w:r>
      <w:r>
        <w:rPr>
          <w:rFonts w:ascii="Times New Roman Regular" w:hAnsi="Times New Roman Regular" w:cs="Times New Roman Regular"/>
          <w:sz w:val="24"/>
        </w:rPr>
        <w:t>方案、RRa垂向插值方案，CODC质量控制方案、GCB22-Bottle</w:t>
      </w:r>
      <w:r>
        <w:rPr>
          <w:rFonts w:hint="eastAsia" w:ascii="Times New Roman Regular" w:hAnsi="Times New Roman Regular" w:cs="Times New Roman Regular"/>
          <w:sz w:val="24"/>
        </w:rPr>
        <w:t>订正</w:t>
      </w:r>
      <w:r>
        <w:rPr>
          <w:rFonts w:ascii="Times New Roman Regular" w:hAnsi="Times New Roman Regular" w:cs="Times New Roman Regular"/>
          <w:sz w:val="24"/>
        </w:rPr>
        <w:t>方案、GRC23-平均APB</w:t>
      </w:r>
      <w:r>
        <w:rPr>
          <w:rFonts w:hint="eastAsia" w:ascii="Times New Roman Regular" w:hAnsi="Times New Roman Regular" w:cs="Times New Roman Regular"/>
          <w:sz w:val="24"/>
        </w:rPr>
        <w:t>订正</w:t>
      </w:r>
      <w:r>
        <w:rPr>
          <w:rFonts w:ascii="Times New Roman Regular" w:hAnsi="Times New Roman Regular" w:cs="Times New Roman Regular"/>
          <w:sz w:val="24"/>
        </w:rPr>
        <w:t>方案、GC20 MBT</w:t>
      </w:r>
      <w:r>
        <w:rPr>
          <w:rFonts w:hint="eastAsia" w:ascii="Times New Roman Regular" w:hAnsi="Times New Roman Regular" w:cs="Times New Roman Regular"/>
          <w:sz w:val="24"/>
        </w:rPr>
        <w:t>订正</w:t>
      </w:r>
      <w:r>
        <w:rPr>
          <w:rFonts w:ascii="Times New Roman Regular" w:hAnsi="Times New Roman Regular" w:cs="Times New Roman Regular"/>
          <w:sz w:val="24"/>
        </w:rPr>
        <w:t>方案以及</w:t>
      </w:r>
      <w:r>
        <w:rPr>
          <w:rFonts w:hint="eastAsia" w:ascii="Times New Roman Regular" w:hAnsi="Times New Roman Regular" w:cs="Times New Roman Regular"/>
          <w:sz w:val="24"/>
        </w:rPr>
        <w:t>EnOI集合分析场的集合平均（I</w:t>
      </w:r>
      <w:r>
        <w:rPr>
          <w:rFonts w:ascii="Times New Roman Regular" w:hAnsi="Times New Roman Regular" w:cs="Times New Roman Regular"/>
          <w:sz w:val="24"/>
        </w:rPr>
        <w:t>AP</w:t>
      </w:r>
      <w:r>
        <w:rPr>
          <w:rFonts w:hint="eastAsia" w:ascii="Times New Roman Regular" w:hAnsi="Times New Roman Regular" w:cs="Times New Roman Regular"/>
          <w:sz w:val="24"/>
        </w:rPr>
        <w:t>团队认为上述方法代表了目前的最佳技术）。</w:t>
      </w:r>
    </w:p>
    <w:p w14:paraId="7B713146">
      <w:pPr>
        <w:spacing w:line="360" w:lineRule="auto"/>
        <w:rPr>
          <w:rFonts w:ascii="Times New Roman Regular" w:hAnsi="Times New Roman Regular" w:cs="Times New Roman Regular"/>
          <w:sz w:val="24"/>
        </w:rPr>
      </w:pPr>
    </w:p>
    <w:p w14:paraId="7FF46B8F">
      <w:pPr>
        <w:pStyle w:val="4"/>
        <w:spacing w:before="0" w:after="0" w:line="360" w:lineRule="auto"/>
        <w:rPr>
          <w:sz w:val="24"/>
        </w:rPr>
      </w:pPr>
      <w:r>
        <w:rPr>
          <w:sz w:val="24"/>
        </w:rPr>
        <w:t xml:space="preserve">1.1 </w:t>
      </w:r>
      <w:r>
        <w:rPr>
          <w:rFonts w:ascii="Times New Roman Regular" w:hAnsi="Times New Roman Regular" w:cs="Times New Roman Regular"/>
          <w:sz w:val="24"/>
        </w:rPr>
        <w:t>IAPv4</w:t>
      </w:r>
      <w:r>
        <w:rPr>
          <w:rFonts w:hint="eastAsia" w:ascii="Times New Roman Regular" w:hAnsi="Times New Roman Regular" w:cs="Times New Roman Regular"/>
          <w:sz w:val="24"/>
        </w:rPr>
        <w:t>大集合数字索引说明（</w:t>
      </w:r>
      <w:r>
        <w:rPr>
          <w:sz w:val="24"/>
        </w:rPr>
        <w:t>A detailed description of the member selection</w:t>
      </w:r>
      <w:r>
        <w:rPr>
          <w:rFonts w:hint="eastAsia"/>
          <w:sz w:val="24"/>
        </w:rPr>
        <w:t>）</w:t>
      </w:r>
    </w:p>
    <w:p w14:paraId="6C1CF07F">
      <w:pPr>
        <w:pStyle w:val="5"/>
        <w:spacing w:before="0" w:after="0"/>
        <w:rPr>
          <w:sz w:val="24"/>
          <w:szCs w:val="22"/>
        </w:rPr>
      </w:pPr>
      <w:r>
        <w:rPr>
          <w:sz w:val="24"/>
          <w:szCs w:val="22"/>
        </w:rPr>
        <w:t>1.1.1 气候态（</w:t>
      </w:r>
      <w:r>
        <w:rPr>
          <w:rFonts w:hint="eastAsia"/>
          <w:sz w:val="24"/>
          <w:szCs w:val="22"/>
        </w:rPr>
        <w:t>Cl</w:t>
      </w:r>
      <w:r>
        <w:rPr>
          <w:sz w:val="24"/>
          <w:szCs w:val="22"/>
        </w:rPr>
        <w:t>imatology）</w:t>
      </w:r>
    </w:p>
    <w:p w14:paraId="0417D2E9">
      <w:pPr>
        <w:numPr>
          <w:ilvl w:val="0"/>
          <w:numId w:val="2"/>
        </w:numPr>
        <w:spacing w:line="360" w:lineRule="auto"/>
        <w:rPr>
          <w:rFonts w:ascii="Times New Roman Regular" w:hAnsi="Times New Roman Regular" w:cs="Times New Roman Regular"/>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 xml:space="preserve">IAP: Cheng, et al. 2024 </w:t>
      </w:r>
    </w:p>
    <w:p w14:paraId="3DDA14BA">
      <w:pPr>
        <w:numPr>
          <w:ilvl w:val="0"/>
          <w:numId w:val="2"/>
        </w:numPr>
        <w:spacing w:line="360" w:lineRule="auto"/>
        <w:rPr>
          <w:rFonts w:ascii="Times New Roman Regular" w:hAnsi="Times New Roman Regular" w:cs="Times New Roman Regular"/>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WAGHC: Gouretski, et al. 2018</w:t>
      </w:r>
    </w:p>
    <w:p w14:paraId="7D3BCE09">
      <w:pPr>
        <w:numPr>
          <w:ilvl w:val="0"/>
          <w:numId w:val="2"/>
        </w:numPr>
        <w:spacing w:line="360" w:lineRule="auto"/>
      </w:pPr>
      <w:r>
        <w:rPr>
          <w:rFonts w:ascii="Times New Roman Regular" w:hAnsi="Times New Roman Regular" w:cs="Times New Roman Regular"/>
          <w:color w:val="000000" w:themeColor="text1"/>
          <w:sz w:val="24"/>
          <w14:textFill>
            <w14:solidFill>
              <w14:schemeClr w14:val="tx1"/>
            </w14:solidFill>
          </w14:textFill>
        </w:rPr>
        <w:t>WOA23: Garcia, et al. 2024</w:t>
      </w:r>
    </w:p>
    <w:p w14:paraId="597A9475">
      <w:pPr>
        <w:spacing w:line="360" w:lineRule="auto"/>
        <w:rPr>
          <w:rFonts w:ascii="Times New Roman Regular" w:hAnsi="Times New Roman Regular" w:cs="Times New Roman Regular"/>
          <w:color w:val="000000" w:themeColor="text1"/>
          <w:sz w:val="24"/>
          <w14:textFill>
            <w14:solidFill>
              <w14:schemeClr w14:val="tx1"/>
            </w14:solidFill>
          </w14:textFill>
        </w:rPr>
      </w:pPr>
    </w:p>
    <w:p w14:paraId="4E9E4164">
      <w:pPr>
        <w:pStyle w:val="5"/>
        <w:spacing w:before="0" w:after="0"/>
        <w:rPr>
          <w:sz w:val="24"/>
          <w:szCs w:val="22"/>
        </w:rPr>
      </w:pPr>
      <w:r>
        <w:rPr>
          <w:sz w:val="24"/>
          <w:szCs w:val="22"/>
        </w:rPr>
        <w:t>1.1.2 XBT仪器数据偏差订正方法（XBT bias correction）</w:t>
      </w:r>
    </w:p>
    <w:p w14:paraId="283F80F5">
      <w:pPr>
        <w:numPr>
          <w:ilvl w:val="0"/>
          <w:numId w:val="3"/>
        </w:numPr>
        <w:spacing w:line="360" w:lineRule="auto"/>
        <w:rPr>
          <w:rFonts w:ascii="Times New Roman Regular" w:hAnsi="Times New Roman Regular" w:cs="Times New Roman Regular"/>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CH14</w:t>
      </w:r>
      <w:r>
        <w:rPr>
          <w:rFonts w:hint="eastAsia" w:ascii="Times New Roman Regular" w:hAnsi="Times New Roman Regular" w:cs="Times New Roman Regular"/>
          <w:color w:val="000000" w:themeColor="text1"/>
          <w:sz w:val="24"/>
          <w14:textFill>
            <w14:solidFill>
              <w14:schemeClr w14:val="tx1"/>
            </w14:solidFill>
          </w14:textFill>
        </w:rPr>
        <w:t>:</w:t>
      </w:r>
      <w:r>
        <w:rPr>
          <w:rFonts w:ascii="Times New Roman Regular" w:hAnsi="Times New Roman Regular" w:cs="Times New Roman Regular"/>
          <w:color w:val="000000" w:themeColor="text1"/>
          <w:sz w:val="24"/>
          <w14:textFill>
            <w14:solidFill>
              <w14:schemeClr w14:val="tx1"/>
            </w14:solidFill>
          </w14:textFill>
        </w:rPr>
        <w:t xml:space="preserve"> Cheng, et al. 2014</w:t>
      </w:r>
    </w:p>
    <w:p w14:paraId="2742F280">
      <w:pPr>
        <w:numPr>
          <w:ilvl w:val="0"/>
          <w:numId w:val="3"/>
        </w:numPr>
        <w:spacing w:line="360" w:lineRule="auto"/>
        <w:rPr>
          <w:rFonts w:ascii="Times New Roman Regular" w:hAnsi="Times New Roman Regular" w:cs="Times New Roman Regular"/>
          <w:color w:val="000000" w:themeColor="text1"/>
          <w:sz w:val="24"/>
          <w14:textFill>
            <w14:solidFill>
              <w14:schemeClr w14:val="tx1"/>
            </w14:solidFill>
          </w14:textFill>
        </w:rPr>
      </w:pPr>
      <w:r>
        <w:rPr>
          <w:rFonts w:hint="eastAsia" w:ascii="Times New Roman Regular" w:hAnsi="Times New Roman Regular" w:cs="Times New Roman Regular"/>
          <w:color w:val="000000" w:themeColor="text1"/>
          <w:sz w:val="24"/>
          <w14:textFill>
            <w14:solidFill>
              <w14:schemeClr w14:val="tx1"/>
            </w14:solidFill>
          </w14:textFill>
        </w:rPr>
        <w:t>L</w:t>
      </w:r>
      <w:r>
        <w:rPr>
          <w:rFonts w:ascii="Times New Roman Regular" w:hAnsi="Times New Roman Regular" w:cs="Times New Roman Regular"/>
          <w:color w:val="000000" w:themeColor="text1"/>
          <w:sz w:val="24"/>
          <w14:textFill>
            <w14:solidFill>
              <w14:schemeClr w14:val="tx1"/>
            </w14:solidFill>
          </w14:textFill>
        </w:rPr>
        <w:t xml:space="preserve">09: Levitus, et al. </w:t>
      </w:r>
      <w:r>
        <w:rPr>
          <w:rFonts w:hint="eastAsia" w:ascii="Times New Roman Regular" w:hAnsi="Times New Roman Regular" w:cs="Times New Roman Regular"/>
          <w:color w:val="000000" w:themeColor="text1"/>
          <w:sz w:val="24"/>
          <w14:textFill>
            <w14:solidFill>
              <w14:schemeClr w14:val="tx1"/>
            </w14:solidFill>
          </w14:textFill>
        </w:rPr>
        <w:t>2009</w:t>
      </w:r>
    </w:p>
    <w:p w14:paraId="4E5DD484">
      <w:pPr>
        <w:numPr>
          <w:ilvl w:val="0"/>
          <w:numId w:val="3"/>
        </w:numPr>
        <w:spacing w:line="360" w:lineRule="auto"/>
        <w:rPr>
          <w:rFonts w:ascii="Times New Roman Regular" w:hAnsi="Times New Roman Regular" w:cs="Times New Roman Regular"/>
          <w:color w:val="000000" w:themeColor="text1"/>
          <w:sz w:val="24"/>
          <w14:textFill>
            <w14:solidFill>
              <w14:schemeClr w14:val="tx1"/>
            </w14:solidFill>
          </w14:textFill>
        </w:rPr>
      </w:pPr>
      <w:r>
        <w:rPr>
          <w:rFonts w:hint="eastAsia" w:ascii="Times New Roman Regular" w:hAnsi="Times New Roman Regular" w:cs="Times New Roman Regular"/>
          <w:color w:val="000000" w:themeColor="text1"/>
          <w:sz w:val="24"/>
          <w14:textFill>
            <w14:solidFill>
              <w14:schemeClr w14:val="tx1"/>
            </w14:solidFill>
          </w14:textFill>
        </w:rPr>
        <w:t xml:space="preserve">GR10: </w:t>
      </w:r>
      <w:r>
        <w:rPr>
          <w:rFonts w:ascii="Times New Roman Regular" w:hAnsi="Times New Roman Regular" w:cs="Times New Roman Regular"/>
          <w:color w:val="000000" w:themeColor="text1"/>
          <w:sz w:val="24"/>
          <w14:textFill>
            <w14:solidFill>
              <w14:schemeClr w14:val="tx1"/>
            </w14:solidFill>
          </w14:textFill>
        </w:rPr>
        <w:t xml:space="preserve">Gouretski, Reseghetti, et al. 2010 </w:t>
      </w:r>
    </w:p>
    <w:p w14:paraId="37D95F54">
      <w:pPr>
        <w:spacing w:line="360" w:lineRule="auto"/>
        <w:rPr>
          <w:rFonts w:ascii="Times New Roman Regular" w:hAnsi="Times New Roman Regular" w:cs="Times New Roman Regular"/>
          <w:color w:val="000000" w:themeColor="text1"/>
          <w:sz w:val="24"/>
          <w14:textFill>
            <w14:solidFill>
              <w14:schemeClr w14:val="tx1"/>
            </w14:solidFill>
          </w14:textFill>
        </w:rPr>
      </w:pPr>
    </w:p>
    <w:p w14:paraId="292AFB26">
      <w:pPr>
        <w:pStyle w:val="5"/>
        <w:spacing w:before="0" w:after="0" w:line="360" w:lineRule="auto"/>
        <w:rPr>
          <w:rFonts w:ascii="Times New Roman Regular" w:hAnsi="Times New Roman Regular" w:cs="Times New Roman Regular"/>
          <w:sz w:val="24"/>
        </w:rPr>
      </w:pPr>
      <w:r>
        <w:rPr>
          <w:rFonts w:ascii="Times New Roman Regular" w:hAnsi="Times New Roman Regular" w:cs="Times New Roman Regular"/>
          <w:sz w:val="24"/>
        </w:rPr>
        <w:t xml:space="preserve">1.1.3 </w:t>
      </w:r>
      <w:r>
        <w:rPr>
          <w:rFonts w:hint="eastAsia" w:ascii="Times New Roman Regular" w:hAnsi="Times New Roman Regular" w:cs="Times New Roman Regular"/>
          <w:sz w:val="24"/>
        </w:rPr>
        <w:t>垂向插值方法（V</w:t>
      </w:r>
      <w:r>
        <w:rPr>
          <w:rFonts w:ascii="Times New Roman Regular" w:hAnsi="Times New Roman Regular" w:cs="Times New Roman Regular"/>
          <w:sz w:val="24"/>
        </w:rPr>
        <w:t>ertical interpolation</w:t>
      </w:r>
      <w:r>
        <w:rPr>
          <w:rFonts w:hint="eastAsia" w:ascii="Times New Roman Regular" w:hAnsi="Times New Roman Regular" w:cs="Times New Roman Regular"/>
          <w:sz w:val="24"/>
        </w:rPr>
        <w:t>）</w:t>
      </w:r>
    </w:p>
    <w:p w14:paraId="70F1AE47">
      <w:pPr>
        <w:numPr>
          <w:ilvl w:val="0"/>
          <w:numId w:val="4"/>
        </w:numPr>
        <w:spacing w:line="360" w:lineRule="auto"/>
        <w:rPr>
          <w:rFonts w:ascii="Times New Roman Regular" w:hAnsi="Times New Roman Regular" w:cs="Times New Roman Regular"/>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 xml:space="preserve">RRa: </w:t>
      </w:r>
      <w:r>
        <w:rPr>
          <w:rFonts w:ascii="Times New Roman Regular" w:hAnsi="Times New Roman Regular" w:cs="Times New Roman Regular"/>
          <w:sz w:val="24"/>
        </w:rPr>
        <w:t>Reiniger, et al. 1968</w:t>
      </w:r>
      <w:r>
        <w:rPr>
          <w:rFonts w:hint="eastAsia" w:ascii="Times New Roman Regular" w:hAnsi="Times New Roman Regular" w:cs="Times New Roman Regular"/>
          <w:sz w:val="24"/>
        </w:rPr>
        <w:t>：即对温度距平廓线应用RR插值方法（A</w:t>
      </w:r>
      <w:r>
        <w:rPr>
          <w:rFonts w:ascii="Times New Roman Regular" w:hAnsi="Times New Roman Regular" w:cs="Times New Roman Regular"/>
          <w:sz w:val="24"/>
        </w:rPr>
        <w:t>pply Reiniger and Ross 1968 interpolation method to temperature anomaly profile after removing a climatology</w:t>
      </w:r>
      <w:r>
        <w:rPr>
          <w:rFonts w:hint="eastAsia" w:ascii="Times New Roman Regular" w:hAnsi="Times New Roman Regular" w:cs="Times New Roman Regular"/>
          <w:sz w:val="24"/>
        </w:rPr>
        <w:t>）</w:t>
      </w:r>
    </w:p>
    <w:p w14:paraId="05398F29">
      <w:pPr>
        <w:numPr>
          <w:ilvl w:val="0"/>
          <w:numId w:val="4"/>
        </w:numPr>
        <w:spacing w:line="360" w:lineRule="auto"/>
        <w:rPr>
          <w:rFonts w:ascii="Times New Roman Regular" w:hAnsi="Times New Roman Regular" w:cs="Times New Roman Regular"/>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PCHIP: Barker, et al. 2020</w:t>
      </w:r>
      <w:r>
        <w:rPr>
          <w:rFonts w:hint="eastAsia" w:ascii="Times New Roman Regular" w:hAnsi="Times New Roman Regular" w:cs="Times New Roman Regular"/>
          <w:sz w:val="24"/>
        </w:rPr>
        <w:t>：对温度廓线应用</w:t>
      </w:r>
      <w:r>
        <w:rPr>
          <w:rFonts w:ascii="Times New Roman Regular" w:hAnsi="Times New Roman Regular" w:cs="Times New Roman Regular"/>
          <w:color w:val="000000" w:themeColor="text1"/>
          <w:sz w:val="24"/>
          <w14:textFill>
            <w14:solidFill>
              <w14:schemeClr w14:val="tx1"/>
            </w14:solidFill>
          </w14:textFill>
        </w:rPr>
        <w:t>PCHIP</w:t>
      </w:r>
      <w:r>
        <w:rPr>
          <w:rFonts w:hint="eastAsia" w:ascii="Times New Roman Regular" w:hAnsi="Times New Roman Regular" w:cs="Times New Roman Regular"/>
          <w:sz w:val="24"/>
        </w:rPr>
        <w:t>插值方法（A</w:t>
      </w:r>
      <w:r>
        <w:rPr>
          <w:rFonts w:ascii="Times New Roman Regular" w:hAnsi="Times New Roman Regular" w:cs="Times New Roman Regular"/>
          <w:sz w:val="24"/>
        </w:rPr>
        <w:t xml:space="preserve">pply </w:t>
      </w:r>
      <w:r>
        <w:rPr>
          <w:rFonts w:ascii="Times New Roman Regular" w:hAnsi="Times New Roman Regular" w:cs="Times New Roman Regular"/>
          <w:color w:val="000000" w:themeColor="text1"/>
          <w:sz w:val="24"/>
          <w14:textFill>
            <w14:solidFill>
              <w14:schemeClr w14:val="tx1"/>
            </w14:solidFill>
          </w14:textFill>
        </w:rPr>
        <w:t>PCHIP method to temperature profile</w:t>
      </w:r>
      <w:r>
        <w:rPr>
          <w:rFonts w:hint="eastAsia" w:ascii="Times New Roman Regular" w:hAnsi="Times New Roman Regular" w:cs="Times New Roman Regular"/>
          <w:sz w:val="24"/>
        </w:rPr>
        <w:t>）</w:t>
      </w:r>
    </w:p>
    <w:p w14:paraId="6124A98A">
      <w:pPr>
        <w:numPr>
          <w:ilvl w:val="0"/>
          <w:numId w:val="4"/>
        </w:numPr>
        <w:spacing w:line="360" w:lineRule="auto"/>
        <w:rPr>
          <w:rFonts w:ascii="Times New Roman Regular" w:hAnsi="Times New Roman Regular" w:cs="Times New Roman Regular"/>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 xml:space="preserve">RR: </w:t>
      </w:r>
      <w:r>
        <w:rPr>
          <w:rFonts w:ascii="Times New Roman Regular" w:hAnsi="Times New Roman Regular" w:cs="Times New Roman Regular"/>
          <w:sz w:val="24"/>
        </w:rPr>
        <w:t>Reiniger and Ross 1968</w:t>
      </w:r>
      <w:r>
        <w:rPr>
          <w:rFonts w:hint="eastAsia" w:ascii="Times New Roman Regular" w:hAnsi="Times New Roman Regular" w:cs="Times New Roman Regular"/>
          <w:sz w:val="24"/>
        </w:rPr>
        <w:t>：对温度廓线应用RR插值方法（A</w:t>
      </w:r>
      <w:r>
        <w:rPr>
          <w:rFonts w:ascii="Times New Roman Regular" w:hAnsi="Times New Roman Regular" w:cs="Times New Roman Regular"/>
          <w:sz w:val="24"/>
        </w:rPr>
        <w:t xml:space="preserve">pply Reiniger and Ross 1968 interpolation method </w:t>
      </w:r>
      <w:r>
        <w:rPr>
          <w:rFonts w:ascii="Times New Roman Regular" w:hAnsi="Times New Roman Regular" w:cs="Times New Roman Regular"/>
          <w:color w:val="000000" w:themeColor="text1"/>
          <w:sz w:val="24"/>
          <w14:textFill>
            <w14:solidFill>
              <w14:schemeClr w14:val="tx1"/>
            </w14:solidFill>
          </w14:textFill>
        </w:rPr>
        <w:t>to temperature profile</w:t>
      </w:r>
      <w:r>
        <w:rPr>
          <w:rFonts w:hint="eastAsia" w:ascii="Times New Roman Regular" w:hAnsi="Times New Roman Regular" w:cs="Times New Roman Regular"/>
          <w:sz w:val="24"/>
        </w:rPr>
        <w:t>）</w:t>
      </w:r>
    </w:p>
    <w:p w14:paraId="103294B3">
      <w:pPr>
        <w:spacing w:line="360" w:lineRule="auto"/>
        <w:rPr>
          <w:rFonts w:ascii="Times New Roman Regular" w:hAnsi="Times New Roman Regular" w:cs="Times New Roman Regular"/>
          <w:color w:val="000000" w:themeColor="text1"/>
          <w:sz w:val="24"/>
          <w14:textFill>
            <w14:solidFill>
              <w14:schemeClr w14:val="tx1"/>
            </w14:solidFill>
          </w14:textFill>
        </w:rPr>
      </w:pPr>
    </w:p>
    <w:p w14:paraId="7F7F4CAC">
      <w:pPr>
        <w:pStyle w:val="5"/>
        <w:spacing w:before="0" w:after="0"/>
        <w:rPr>
          <w:sz w:val="24"/>
          <w:szCs w:val="22"/>
        </w:rPr>
      </w:pPr>
      <w:r>
        <w:rPr>
          <w:sz w:val="24"/>
          <w:szCs w:val="22"/>
        </w:rPr>
        <w:t>1.1.4 质量控制方法（Quality control）</w:t>
      </w:r>
    </w:p>
    <w:p w14:paraId="51AD64C9">
      <w:pPr>
        <w:numPr>
          <w:ilvl w:val="0"/>
          <w:numId w:val="5"/>
        </w:numPr>
        <w:spacing w:line="360" w:lineRule="auto"/>
        <w:rPr>
          <w:rFonts w:ascii="Times New Roman Regular" w:hAnsi="Times New Roman Regular" w:cs="Times New Roman Regular"/>
          <w:color w:val="000000" w:themeColor="text1"/>
          <w:sz w:val="24"/>
          <w14:textFill>
            <w14:solidFill>
              <w14:schemeClr w14:val="tx1"/>
            </w14:solidFill>
          </w14:textFill>
        </w:rPr>
      </w:pPr>
      <w:bookmarkStart w:id="0" w:name="_GoBack"/>
      <w:r>
        <w:rPr>
          <w:rFonts w:ascii="Times New Roman Regular" w:hAnsi="Times New Roman Regular" w:cs="Times New Roman Regular"/>
          <w:color w:val="000000" w:themeColor="text1"/>
          <w:sz w:val="24"/>
          <w14:textFill>
            <w14:solidFill>
              <w14:schemeClr w14:val="tx1"/>
            </w14:solidFill>
          </w14:textFill>
        </w:rPr>
        <w:t>CODC-QC: Tan, et al. 2023</w:t>
      </w:r>
      <w:bookmarkEnd w:id="0"/>
    </w:p>
    <w:p w14:paraId="04004811">
      <w:pPr>
        <w:numPr>
          <w:ilvl w:val="0"/>
          <w:numId w:val="5"/>
        </w:numPr>
        <w:spacing w:line="360" w:lineRule="auto"/>
        <w:rPr>
          <w:rFonts w:ascii="Times New Roman Regular" w:hAnsi="Times New Roman Regular" w:cs="Times New Roman Regular"/>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 xml:space="preserve">WOD-QC: </w:t>
      </w:r>
      <w:r>
        <w:rPr>
          <w:rFonts w:hint="default" w:ascii="Times New Roman Regular" w:hAnsi="Times New Roman Regular" w:cs="Times New Roman Regular"/>
          <w:color w:val="000000" w:themeColor="text1"/>
          <w:sz w:val="24"/>
          <w:lang w:val="en-US"/>
          <w14:textFill>
            <w14:solidFill>
              <w14:schemeClr w14:val="tx1"/>
            </w14:solidFill>
          </w14:textFill>
        </w:rPr>
        <w:t>Garcia, et al. 2024</w:t>
      </w:r>
    </w:p>
    <w:p w14:paraId="4558D89B">
      <w:pPr>
        <w:spacing w:line="360" w:lineRule="auto"/>
        <w:rPr>
          <w:rFonts w:ascii="Times New Roman Regular" w:hAnsi="Times New Roman Regular" w:cs="Times New Roman Regular"/>
        </w:rPr>
      </w:pPr>
    </w:p>
    <w:p w14:paraId="7C7A8EEB">
      <w:pPr>
        <w:pStyle w:val="5"/>
        <w:spacing w:before="0" w:after="0"/>
        <w:rPr>
          <w:sz w:val="24"/>
          <w:szCs w:val="22"/>
        </w:rPr>
      </w:pPr>
      <w:r>
        <w:rPr>
          <w:sz w:val="24"/>
          <w:szCs w:val="22"/>
        </w:rPr>
        <w:t>1.1.5 Bottle仪器数据偏差订正方法（Bottle bias correction）</w:t>
      </w:r>
    </w:p>
    <w:p w14:paraId="04C9BAB2">
      <w:pPr>
        <w:spacing w:line="360" w:lineRule="auto"/>
        <w:ind w:firstLine="480" w:firstLineChars="200"/>
        <w:rPr>
          <w:rFonts w:ascii="Times New Roman Regular" w:hAnsi="Times New Roman Regular" w:cs="Times New Roman Regular"/>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基于Gouretski</w:t>
      </w:r>
      <w:r>
        <w:rPr>
          <w:rFonts w:hint="eastAsia" w:ascii="Times New Roman Regular" w:hAnsi="Times New Roman Regular" w:cs="Times New Roman Regular"/>
          <w:color w:val="000000" w:themeColor="text1"/>
          <w:sz w:val="24"/>
          <w14:textFill>
            <w14:solidFill>
              <w14:schemeClr w14:val="tx1"/>
            </w14:solidFill>
          </w14:textFill>
        </w:rPr>
        <w:t>,</w:t>
      </w:r>
      <w:r>
        <w:rPr>
          <w:rFonts w:ascii="Times New Roman Regular" w:hAnsi="Times New Roman Regular" w:cs="Times New Roman Regular"/>
          <w:color w:val="000000" w:themeColor="text1"/>
          <w:sz w:val="24"/>
          <w14:textFill>
            <w14:solidFill>
              <w14:schemeClr w14:val="tx1"/>
            </w14:solidFill>
          </w14:textFill>
        </w:rPr>
        <w:t xml:space="preserve"> </w:t>
      </w:r>
      <w:r>
        <w:rPr>
          <w:rFonts w:hint="eastAsia" w:ascii="Times New Roman Regular" w:hAnsi="Times New Roman Regular" w:cs="Times New Roman Regular"/>
          <w:color w:val="000000" w:themeColor="text1"/>
          <w:sz w:val="24"/>
          <w14:textFill>
            <w14:solidFill>
              <w14:schemeClr w14:val="tx1"/>
            </w14:solidFill>
          </w14:textFill>
        </w:rPr>
        <w:t>Cheng</w:t>
      </w:r>
      <w:r>
        <w:rPr>
          <w:rFonts w:ascii="Times New Roman Regular" w:hAnsi="Times New Roman Regular" w:cs="Times New Roman Regular"/>
          <w:color w:val="000000" w:themeColor="text1"/>
          <w:sz w:val="24"/>
          <w14:textFill>
            <w14:solidFill>
              <w14:schemeClr w14:val="tx1"/>
            </w14:solidFill>
          </w14:textFill>
        </w:rPr>
        <w:t>, Boyer（G</w:t>
      </w:r>
      <w:r>
        <w:rPr>
          <w:rFonts w:hint="eastAsia" w:ascii="Times New Roman Regular" w:hAnsi="Times New Roman Regular" w:cs="Times New Roman Regular"/>
          <w:color w:val="000000" w:themeColor="text1"/>
          <w:sz w:val="24"/>
          <w14:textFill>
            <w14:solidFill>
              <w14:schemeClr w14:val="tx1"/>
            </w14:solidFill>
          </w14:textFill>
        </w:rPr>
        <w:t>CB</w:t>
      </w:r>
      <w:r>
        <w:rPr>
          <w:rFonts w:ascii="Times New Roman Regular" w:hAnsi="Times New Roman Regular" w:cs="Times New Roman Regular"/>
          <w:color w:val="000000" w:themeColor="text1"/>
          <w:sz w:val="24"/>
          <w14:textFill>
            <w14:solidFill>
              <w14:schemeClr w14:val="tx1"/>
            </w14:solidFill>
          </w14:textFill>
        </w:rPr>
        <w:t>2</w:t>
      </w:r>
      <w:r>
        <w:rPr>
          <w:rFonts w:hint="eastAsia" w:ascii="Times New Roman Regular" w:hAnsi="Times New Roman Regular" w:cs="Times New Roman Regular"/>
          <w:color w:val="000000" w:themeColor="text1"/>
          <w:sz w:val="24"/>
          <w14:textFill>
            <w14:solidFill>
              <w14:schemeClr w14:val="tx1"/>
            </w14:solidFill>
          </w14:textFill>
        </w:rPr>
        <w:t>2</w:t>
      </w:r>
      <w:r>
        <w:rPr>
          <w:rFonts w:ascii="Times New Roman Regular" w:hAnsi="Times New Roman Regular" w:cs="Times New Roman Regular"/>
          <w:color w:val="000000" w:themeColor="text1"/>
          <w:sz w:val="24"/>
          <w14:textFill>
            <w14:solidFill>
              <w14:schemeClr w14:val="tx1"/>
            </w14:solidFill>
          </w14:textFill>
        </w:rPr>
        <w:t>）</w:t>
      </w:r>
      <w:r>
        <w:rPr>
          <w:rFonts w:hint="eastAsia" w:ascii="Times New Roman Regular" w:hAnsi="Times New Roman Regular" w:cs="Times New Roman Regular"/>
          <w:color w:val="000000" w:themeColor="text1"/>
          <w:sz w:val="24"/>
          <w:lang w:val="en-US" w:eastAsia="zh-CN"/>
          <w14:textFill>
            <w14:solidFill>
              <w14:schemeClr w14:val="tx1"/>
            </w14:solidFill>
          </w14:textFill>
        </w:rPr>
        <w:t>等</w:t>
      </w:r>
      <w:r>
        <w:rPr>
          <w:rFonts w:ascii="Times New Roman Regular" w:hAnsi="Times New Roman Regular" w:cs="Times New Roman Regular"/>
          <w:color w:val="000000" w:themeColor="text1"/>
          <w:sz w:val="24"/>
          <w14:textFill>
            <w14:solidFill>
              <w14:schemeClr w14:val="tx1"/>
            </w14:solidFill>
          </w14:textFill>
        </w:rPr>
        <w:t>的</w:t>
      </w:r>
      <w:r>
        <w:rPr>
          <w:rFonts w:hint="eastAsia" w:ascii="Times New Roman Regular" w:hAnsi="Times New Roman Regular" w:cs="Times New Roman Regular"/>
          <w:color w:val="000000" w:themeColor="text1"/>
          <w:sz w:val="24"/>
          <w14:textFill>
            <w14:solidFill>
              <w14:schemeClr w14:val="tx1"/>
            </w14:solidFill>
          </w14:textFill>
        </w:rPr>
        <w:t>方法，分别采用中心估计、</w:t>
      </w:r>
      <w:r>
        <w:rPr>
          <w:rFonts w:ascii="Times New Roman Regular" w:hAnsi="Times New Roman Regular" w:cs="Times New Roman Regular"/>
          <w:color w:val="000000" w:themeColor="text1"/>
          <w:sz w:val="24"/>
          <w14:textFill>
            <w14:solidFill>
              <w14:schemeClr w14:val="tx1"/>
            </w14:solidFill>
          </w14:textFill>
        </w:rPr>
        <w:t>上</w:t>
      </w:r>
      <w:r>
        <w:rPr>
          <w:rFonts w:hint="eastAsia" w:ascii="Times New Roman Regular" w:hAnsi="Times New Roman Regular" w:cs="Times New Roman Regular"/>
          <w:color w:val="000000" w:themeColor="text1"/>
          <w:sz w:val="24"/>
          <w14:textFill>
            <w14:solidFill>
              <w14:schemeClr w14:val="tx1"/>
            </w14:solidFill>
          </w14:textFill>
        </w:rPr>
        <w:t>限估计、</w:t>
      </w:r>
      <w:r>
        <w:rPr>
          <w:rFonts w:ascii="Times New Roman Regular" w:hAnsi="Times New Roman Regular" w:cs="Times New Roman Regular"/>
          <w:color w:val="000000" w:themeColor="text1"/>
          <w:sz w:val="24"/>
          <w14:textFill>
            <w14:solidFill>
              <w14:schemeClr w14:val="tx1"/>
            </w14:solidFill>
          </w14:textFill>
        </w:rPr>
        <w:t>下限</w:t>
      </w:r>
      <w:r>
        <w:rPr>
          <w:rFonts w:hint="eastAsia" w:ascii="Times New Roman Regular" w:hAnsi="Times New Roman Regular" w:cs="Times New Roman Regular"/>
          <w:color w:val="000000" w:themeColor="text1"/>
          <w:sz w:val="24"/>
          <w14:textFill>
            <w14:solidFill>
              <w14:schemeClr w14:val="tx1"/>
            </w14:solidFill>
          </w14:textFill>
        </w:rPr>
        <w:t>估计。其中，上下限估计</w:t>
      </w:r>
      <w:r>
        <w:rPr>
          <w:rFonts w:ascii="Times New Roman Regular" w:hAnsi="Times New Roman Regular" w:cs="Times New Roman Regular"/>
          <w:color w:val="000000" w:themeColor="text1"/>
          <w:sz w:val="24"/>
          <w14:textFill>
            <w14:solidFill>
              <w14:schemeClr w14:val="tx1"/>
            </w14:solidFill>
          </w14:textFill>
        </w:rPr>
        <w:t>分别代表校正幅度的保守估计与激进估计。</w:t>
      </w:r>
    </w:p>
    <w:p w14:paraId="4A0BF2BD">
      <w:pPr>
        <w:spacing w:line="360" w:lineRule="auto"/>
        <w:ind w:firstLine="480" w:firstLineChars="200"/>
        <w:rPr>
          <w:rFonts w:ascii="Times New Roman Regular" w:hAnsi="Times New Roman Regular" w:cs="Times New Roman Regular"/>
        </w:rPr>
      </w:pPr>
      <w:r>
        <w:rPr>
          <w:rFonts w:ascii="Times New Roman Regular" w:hAnsi="Times New Roman Regular" w:cs="Times New Roman Regular"/>
          <w:color w:val="000000" w:themeColor="text1"/>
          <w:sz w:val="24"/>
          <w14:textFill>
            <w14:solidFill>
              <w14:schemeClr w14:val="tx1"/>
            </w14:solidFill>
          </w14:textFill>
        </w:rPr>
        <w:t xml:space="preserve">The central estimate and an upper and lower bound of the correction developed in </w:t>
      </w:r>
      <w:r>
        <w:rPr>
          <w:rFonts w:hint="eastAsia" w:ascii="Times New Roman Regular" w:hAnsi="Times New Roman Regular" w:cs="Times New Roman Regular"/>
          <w:color w:val="000000" w:themeColor="text1"/>
          <w:sz w:val="24"/>
          <w14:textFill>
            <w14:solidFill>
              <w14:schemeClr w14:val="tx1"/>
            </w14:solidFill>
          </w14:textFill>
        </w:rPr>
        <w:t>Gouretski, Cheng, Boyer</w:t>
      </w:r>
      <w:r>
        <w:rPr>
          <w:rFonts w:hint="default" w:ascii="Times New Roman Regular" w:hAnsi="Times New Roman Regular" w:cs="Times New Roman Regular"/>
          <w:color w:val="000000" w:themeColor="text1"/>
          <w:sz w:val="24"/>
          <w:lang w:val="en-US"/>
          <w14:textFill>
            <w14:solidFill>
              <w14:schemeClr w14:val="tx1"/>
            </w14:solidFill>
          </w14:textFill>
        </w:rPr>
        <w:t>,</w:t>
      </w:r>
      <w:r>
        <w:rPr>
          <w:rFonts w:ascii="Times New Roman Regular" w:hAnsi="Times New Roman Regular" w:cs="Times New Roman Regular"/>
          <w:color w:val="000000" w:themeColor="text1"/>
          <w:sz w:val="24"/>
          <w14:textFill>
            <w14:solidFill>
              <w14:schemeClr w14:val="tx1"/>
            </w14:solidFill>
          </w14:textFill>
        </w:rPr>
        <w:t xml:space="preserve"> et al.</w:t>
      </w:r>
      <w:r>
        <w:rPr>
          <w:rFonts w:hint="default" w:ascii="Times New Roman Regular" w:hAnsi="Times New Roman Regular" w:cs="Times New Roman Regular"/>
          <w:color w:val="000000" w:themeColor="text1"/>
          <w:sz w:val="24"/>
          <w:lang w:val="en-US"/>
          <w14:textFill>
            <w14:solidFill>
              <w14:schemeClr w14:val="tx1"/>
            </w14:solidFill>
          </w14:textFill>
        </w:rPr>
        <w:t xml:space="preserve"> </w:t>
      </w:r>
      <w:r>
        <w:rPr>
          <w:rFonts w:ascii="Times New Roman Regular" w:hAnsi="Times New Roman Regular" w:cs="Times New Roman Regular"/>
          <w:color w:val="000000" w:themeColor="text1"/>
          <w:sz w:val="24"/>
          <w14:textFill>
            <w14:solidFill>
              <w14:schemeClr w14:val="tx1"/>
            </w14:solidFill>
          </w14:textFill>
        </w:rPr>
        <w:t>(GCB22). The upper and lower bounds represent conservative and aggressive estimates of the bottle bias.</w:t>
      </w:r>
    </w:p>
    <w:p w14:paraId="476C1FB7">
      <w:pPr>
        <w:numPr>
          <w:ilvl w:val="0"/>
          <w:numId w:val="6"/>
        </w:numPr>
        <w:spacing w:line="360" w:lineRule="auto"/>
        <w:rPr>
          <w:rFonts w:ascii="Times New Roman Regular" w:hAnsi="Times New Roman Regular" w:cs="Times New Roman Regular"/>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GCB22</w:t>
      </w:r>
      <w:r>
        <w:rPr>
          <w:rFonts w:hint="eastAsia" w:ascii="Times New Roman Regular" w:hAnsi="Times New Roman Regular" w:cs="Times New Roman Regular"/>
          <w:color w:val="000000" w:themeColor="text1"/>
          <w:sz w:val="24"/>
          <w14:textFill>
            <w14:solidFill>
              <w14:schemeClr w14:val="tx1"/>
            </w14:solidFill>
          </w14:textFill>
        </w:rPr>
        <w:t>:</w:t>
      </w:r>
      <w:r>
        <w:rPr>
          <w:rFonts w:ascii="Times New Roman Regular" w:hAnsi="Times New Roman Regular" w:cs="Times New Roman Regular"/>
          <w:color w:val="000000" w:themeColor="text1"/>
          <w:sz w:val="24"/>
          <w14:textFill>
            <w14:solidFill>
              <w14:schemeClr w14:val="tx1"/>
            </w14:solidFill>
          </w14:textFill>
        </w:rPr>
        <w:t xml:space="preserve"> Gouretski</w:t>
      </w:r>
      <w:r>
        <w:rPr>
          <w:rFonts w:hint="default" w:ascii="Times New Roman Regular" w:hAnsi="Times New Roman Regular" w:cs="Times New Roman Regular"/>
          <w:color w:val="000000" w:themeColor="text1"/>
          <w:sz w:val="24"/>
          <w:lang w:val="en-US"/>
          <w14:textFill>
            <w14:solidFill>
              <w14:schemeClr w14:val="tx1"/>
            </w14:solidFill>
          </w14:textFill>
        </w:rPr>
        <w:t>,</w:t>
      </w:r>
      <w:r>
        <w:rPr>
          <w:rFonts w:ascii="Times New Roman Regular" w:hAnsi="Times New Roman Regular" w:cs="Times New Roman Regular"/>
          <w:color w:val="000000" w:themeColor="text1"/>
          <w:sz w:val="24"/>
          <w14:textFill>
            <w14:solidFill>
              <w14:schemeClr w14:val="tx1"/>
            </w14:solidFill>
          </w14:textFill>
        </w:rPr>
        <w:t xml:space="preserve"> et al. 2022</w:t>
      </w:r>
    </w:p>
    <w:p w14:paraId="1A098E44">
      <w:pPr>
        <w:numPr>
          <w:ilvl w:val="0"/>
          <w:numId w:val="6"/>
        </w:numPr>
        <w:spacing w:line="360" w:lineRule="auto"/>
        <w:rPr>
          <w:rFonts w:ascii="Times New Roman Regular" w:hAnsi="Times New Roman Regular" w:cs="Times New Roman Regular"/>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GCB22-Lower: Gouretski</w:t>
      </w:r>
      <w:r>
        <w:rPr>
          <w:rFonts w:hint="default" w:ascii="Times New Roman Regular" w:hAnsi="Times New Roman Regular" w:cs="Times New Roman Regular"/>
          <w:color w:val="000000" w:themeColor="text1"/>
          <w:sz w:val="24"/>
          <w:lang w:val="en-US"/>
          <w14:textFill>
            <w14:solidFill>
              <w14:schemeClr w14:val="tx1"/>
            </w14:solidFill>
          </w14:textFill>
        </w:rPr>
        <w:t>,</w:t>
      </w:r>
      <w:r>
        <w:rPr>
          <w:rFonts w:ascii="Times New Roman Regular" w:hAnsi="Times New Roman Regular" w:cs="Times New Roman Regular"/>
          <w:color w:val="000000" w:themeColor="text1"/>
          <w:sz w:val="24"/>
          <w14:textFill>
            <w14:solidFill>
              <w14:schemeClr w14:val="tx1"/>
            </w14:solidFill>
          </w14:textFill>
        </w:rPr>
        <w:t xml:space="preserve"> et al. 2022</w:t>
      </w:r>
    </w:p>
    <w:p w14:paraId="7BA397EC">
      <w:pPr>
        <w:numPr>
          <w:ilvl w:val="0"/>
          <w:numId w:val="4"/>
        </w:numPr>
        <w:spacing w:line="360" w:lineRule="auto"/>
        <w:rPr>
          <w:rFonts w:ascii="Times New Roman Regular" w:hAnsi="Times New Roman Regular" w:cs="Times New Roman Regular"/>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GCB22-Upper: Gouretski</w:t>
      </w:r>
      <w:r>
        <w:rPr>
          <w:rFonts w:hint="default" w:ascii="Times New Roman Regular" w:hAnsi="Times New Roman Regular" w:cs="Times New Roman Regular"/>
          <w:color w:val="000000" w:themeColor="text1"/>
          <w:sz w:val="24"/>
          <w:lang w:val="en-US"/>
          <w14:textFill>
            <w14:solidFill>
              <w14:schemeClr w14:val="tx1"/>
            </w14:solidFill>
          </w14:textFill>
        </w:rPr>
        <w:t>,</w:t>
      </w:r>
      <w:r>
        <w:rPr>
          <w:rFonts w:ascii="Times New Roman Regular" w:hAnsi="Times New Roman Regular" w:cs="Times New Roman Regular"/>
          <w:color w:val="000000" w:themeColor="text1"/>
          <w:sz w:val="24"/>
          <w14:textFill>
            <w14:solidFill>
              <w14:schemeClr w14:val="tx1"/>
            </w14:solidFill>
          </w14:textFill>
        </w:rPr>
        <w:t xml:space="preserve"> et al. 2022</w:t>
      </w:r>
    </w:p>
    <w:p w14:paraId="2BE7A7A9">
      <w:pPr>
        <w:spacing w:line="360" w:lineRule="auto"/>
        <w:rPr>
          <w:rFonts w:ascii="Times New Roman Regular" w:hAnsi="Times New Roman Regular" w:cs="Times New Roman Regular"/>
        </w:rPr>
      </w:pPr>
    </w:p>
    <w:p w14:paraId="7117CEDD">
      <w:pPr>
        <w:pStyle w:val="5"/>
        <w:spacing w:before="0" w:after="0" w:line="360" w:lineRule="auto"/>
        <w:rPr>
          <w:sz w:val="24"/>
          <w:szCs w:val="22"/>
        </w:rPr>
      </w:pPr>
      <w:r>
        <w:rPr>
          <w:sz w:val="24"/>
          <w:szCs w:val="22"/>
        </w:rPr>
        <w:t>1.1.6 APB仪器数据偏差订正方法（APB bias correction）</w:t>
      </w:r>
    </w:p>
    <w:p w14:paraId="3967F7A3">
      <w:pPr>
        <w:spacing w:line="360" w:lineRule="auto"/>
        <w:ind w:firstLine="480" w:firstLineChars="200"/>
        <w:rPr>
          <w:rFonts w:ascii="Times New Roman Regular" w:hAnsi="Times New Roman Regular" w:cs="Times New Roman Regular"/>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基于Gouretski</w:t>
      </w:r>
      <w:r>
        <w:rPr>
          <w:rFonts w:hint="default" w:ascii="Times New Roman Regular" w:hAnsi="Times New Roman Regular" w:cs="Times New Roman Regular"/>
          <w:color w:val="000000" w:themeColor="text1"/>
          <w:sz w:val="24"/>
          <w:lang w:val="en-US"/>
          <w14:textFill>
            <w14:solidFill>
              <w14:schemeClr w14:val="tx1"/>
            </w14:solidFill>
          </w14:textFill>
        </w:rPr>
        <w:t xml:space="preserve">, </w:t>
      </w:r>
      <w:r>
        <w:rPr>
          <w:rFonts w:hint="default" w:ascii="Times New Roman Regular" w:hAnsi="Times New Roman Regular" w:cs="Times New Roman Regular"/>
          <w:color w:val="000000" w:themeColor="text1"/>
          <w:sz w:val="24"/>
          <w14:textFill>
            <w14:solidFill>
              <w14:schemeClr w14:val="tx1"/>
            </w14:solidFill>
          </w14:textFill>
        </w:rPr>
        <w:t>Roquet</w:t>
      </w:r>
      <w:r>
        <w:rPr>
          <w:rFonts w:hint="default" w:ascii="Times New Roman Regular" w:hAnsi="Times New Roman Regular" w:cs="Times New Roman Regular"/>
          <w:color w:val="000000" w:themeColor="text1"/>
          <w:sz w:val="24"/>
          <w:lang w:val="en-US"/>
          <w14:textFill>
            <w14:solidFill>
              <w14:schemeClr w14:val="tx1"/>
            </w14:solidFill>
          </w14:textFill>
        </w:rPr>
        <w:t>,</w:t>
      </w:r>
      <w:r>
        <w:rPr>
          <w:rFonts w:hint="eastAsia" w:ascii="Times New Roman Regular" w:hAnsi="Times New Roman Regular" w:cs="Times New Roman Regular"/>
          <w:color w:val="000000" w:themeColor="text1"/>
          <w:sz w:val="24"/>
          <w:lang w:val="en-US" w:eastAsia="zh-CN"/>
          <w14:textFill>
            <w14:solidFill>
              <w14:schemeClr w14:val="tx1"/>
            </w14:solidFill>
          </w14:textFill>
        </w:rPr>
        <w:t xml:space="preserve"> </w:t>
      </w:r>
      <w:r>
        <w:rPr>
          <w:rFonts w:hint="default" w:ascii="Times New Roman Regular" w:hAnsi="Times New Roman Regular" w:cs="Times New Roman Regular"/>
          <w:color w:val="000000" w:themeColor="text1"/>
          <w:sz w:val="24"/>
          <w:lang w:val="en-US"/>
          <w14:textFill>
            <w14:solidFill>
              <w14:schemeClr w14:val="tx1"/>
            </w14:solidFill>
          </w14:textFill>
        </w:rPr>
        <w:t>Cheng</w:t>
      </w:r>
      <w:r>
        <w:rPr>
          <w:rFonts w:ascii="Times New Roman Regular" w:hAnsi="Times New Roman Regular" w:cs="Times New Roman Regular"/>
          <w:color w:val="000000" w:themeColor="text1"/>
          <w:sz w:val="24"/>
          <w14:textFill>
            <w14:solidFill>
              <w14:schemeClr w14:val="tx1"/>
            </w14:solidFill>
          </w14:textFill>
        </w:rPr>
        <w:t>（GRC23）</w:t>
      </w:r>
      <w:r>
        <w:rPr>
          <w:rFonts w:hint="default" w:ascii="Times New Roman Regular" w:hAnsi="Times New Roman Regular" w:cs="Times New Roman Regular"/>
          <w:color w:val="000000" w:themeColor="text1"/>
          <w:sz w:val="24"/>
          <w:lang w:val="en-US" w:eastAsia="zh-CN"/>
          <w14:textFill>
            <w14:solidFill>
              <w14:schemeClr w14:val="tx1"/>
            </w14:solidFill>
          </w14:textFill>
        </w:rPr>
        <w:t>等</w:t>
      </w:r>
      <w:r>
        <w:rPr>
          <w:rFonts w:ascii="Times New Roman Regular" w:hAnsi="Times New Roman Regular" w:cs="Times New Roman Regular"/>
          <w:color w:val="000000" w:themeColor="text1"/>
          <w:sz w:val="24"/>
          <w14:textFill>
            <w14:solidFill>
              <w14:schemeClr w14:val="tx1"/>
            </w14:solidFill>
          </w14:textFill>
        </w:rPr>
        <w:t>的</w:t>
      </w:r>
      <w:r>
        <w:rPr>
          <w:rFonts w:hint="eastAsia" w:ascii="Times New Roman Regular" w:hAnsi="Times New Roman Regular" w:cs="Times New Roman Regular"/>
          <w:color w:val="000000" w:themeColor="text1"/>
          <w:sz w:val="24"/>
          <w14:textFill>
            <w14:solidFill>
              <w14:schemeClr w14:val="tx1"/>
            </w14:solidFill>
          </w14:textFill>
        </w:rPr>
        <w:t>方法，分别采用中心估计、</w:t>
      </w:r>
      <w:r>
        <w:rPr>
          <w:rFonts w:ascii="Times New Roman Regular" w:hAnsi="Times New Roman Regular" w:cs="Times New Roman Regular"/>
          <w:color w:val="000000" w:themeColor="text1"/>
          <w:sz w:val="24"/>
          <w14:textFill>
            <w14:solidFill>
              <w14:schemeClr w14:val="tx1"/>
            </w14:solidFill>
          </w14:textFill>
        </w:rPr>
        <w:t>上</w:t>
      </w:r>
      <w:r>
        <w:rPr>
          <w:rFonts w:hint="eastAsia" w:ascii="Times New Roman Regular" w:hAnsi="Times New Roman Regular" w:cs="Times New Roman Regular"/>
          <w:color w:val="000000" w:themeColor="text1"/>
          <w:sz w:val="24"/>
          <w14:textFill>
            <w14:solidFill>
              <w14:schemeClr w14:val="tx1"/>
            </w14:solidFill>
          </w14:textFill>
        </w:rPr>
        <w:t>限估计、</w:t>
      </w:r>
      <w:r>
        <w:rPr>
          <w:rFonts w:ascii="Times New Roman Regular" w:hAnsi="Times New Roman Regular" w:cs="Times New Roman Regular"/>
          <w:color w:val="000000" w:themeColor="text1"/>
          <w:sz w:val="24"/>
          <w14:textFill>
            <w14:solidFill>
              <w14:schemeClr w14:val="tx1"/>
            </w14:solidFill>
          </w14:textFill>
        </w:rPr>
        <w:t>下限</w:t>
      </w:r>
      <w:r>
        <w:rPr>
          <w:rFonts w:hint="eastAsia" w:ascii="Times New Roman Regular" w:hAnsi="Times New Roman Regular" w:cs="Times New Roman Regular"/>
          <w:color w:val="000000" w:themeColor="text1"/>
          <w:sz w:val="24"/>
          <w14:textFill>
            <w14:solidFill>
              <w14:schemeClr w14:val="tx1"/>
            </w14:solidFill>
          </w14:textFill>
        </w:rPr>
        <w:t>估计。其中，上下限估计</w:t>
      </w:r>
      <w:r>
        <w:rPr>
          <w:rFonts w:ascii="Times New Roman Regular" w:hAnsi="Times New Roman Regular" w:cs="Times New Roman Regular"/>
          <w:color w:val="000000" w:themeColor="text1"/>
          <w:sz w:val="24"/>
          <w14:textFill>
            <w14:solidFill>
              <w14:schemeClr w14:val="tx1"/>
            </w14:solidFill>
          </w14:textFill>
        </w:rPr>
        <w:t>分别代表</w:t>
      </w:r>
      <w:r>
        <w:rPr>
          <w:rFonts w:hint="eastAsia" w:ascii="Times New Roman Regular" w:hAnsi="Times New Roman Regular" w:cs="Times New Roman Regular"/>
          <w:color w:val="000000" w:themeColor="text1"/>
          <w:sz w:val="24"/>
          <w14:textFill>
            <w14:solidFill>
              <w14:schemeClr w14:val="tx1"/>
            </w14:solidFill>
          </w14:textFill>
        </w:rPr>
        <w:t>订正</w:t>
      </w:r>
      <w:r>
        <w:rPr>
          <w:rFonts w:ascii="Times New Roman Regular" w:hAnsi="Times New Roman Regular" w:cs="Times New Roman Regular"/>
          <w:color w:val="000000" w:themeColor="text1"/>
          <w:sz w:val="24"/>
          <w14:textFill>
            <w14:solidFill>
              <w14:schemeClr w14:val="tx1"/>
            </w14:solidFill>
          </w14:textFill>
        </w:rPr>
        <w:t>幅度的保守估计与激进估计。</w:t>
      </w:r>
    </w:p>
    <w:p w14:paraId="6493EBB9">
      <w:pPr>
        <w:spacing w:line="360" w:lineRule="auto"/>
        <w:ind w:firstLine="240" w:firstLineChars="100"/>
        <w:rPr>
          <w:rFonts w:ascii="Times New Roman Regular" w:hAnsi="Times New Roman Regular" w:cs="Times New Roman Regular"/>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 xml:space="preserve">The central estimate, an upper and lower bound of the correction are </w:t>
      </w:r>
      <w:r>
        <w:rPr>
          <w:rFonts w:hint="eastAsia" w:ascii="Times New Roman Regular" w:hAnsi="Times New Roman Regular" w:cs="Times New Roman Regular"/>
          <w:color w:val="000000" w:themeColor="text1"/>
          <w:sz w:val="24"/>
          <w:lang w:val="en-US" w:eastAsia="zh-CN"/>
          <w14:textFill>
            <w14:solidFill>
              <w14:schemeClr w14:val="tx1"/>
            </w14:solidFill>
          </w14:textFill>
        </w:rPr>
        <w:t>developed</w:t>
      </w:r>
      <w:r>
        <w:rPr>
          <w:rFonts w:ascii="Times New Roman Regular" w:hAnsi="Times New Roman Regular" w:cs="Times New Roman Regular"/>
          <w:color w:val="000000" w:themeColor="text1"/>
          <w:sz w:val="24"/>
          <w14:textFill>
            <w14:solidFill>
              <w14:schemeClr w14:val="tx1"/>
            </w14:solidFill>
          </w14:textFill>
        </w:rPr>
        <w:t xml:space="preserve"> </w:t>
      </w:r>
      <w:r>
        <w:rPr>
          <w:rFonts w:hint="eastAsia" w:ascii="Times New Roman Regular" w:hAnsi="Times New Roman Regular" w:cs="Times New Roman Regular"/>
          <w:color w:val="000000" w:themeColor="text1"/>
          <w:sz w:val="24"/>
          <w:lang w:val="en-US" w:eastAsia="zh-CN"/>
          <w14:textFill>
            <w14:solidFill>
              <w14:schemeClr w14:val="tx1"/>
            </w14:solidFill>
          </w14:textFill>
        </w:rPr>
        <w:t>in</w:t>
      </w:r>
      <w:r>
        <w:rPr>
          <w:rFonts w:ascii="Times New Roman Regular" w:hAnsi="Times New Roman Regular" w:cs="Times New Roman Regular"/>
          <w:color w:val="000000" w:themeColor="text1"/>
          <w:sz w:val="24"/>
          <w14:textFill>
            <w14:solidFill>
              <w14:schemeClr w14:val="tx1"/>
            </w14:solidFill>
          </w14:textFill>
        </w:rPr>
        <w:t xml:space="preserve"> Gouretski</w:t>
      </w:r>
      <w:r>
        <w:rPr>
          <w:rFonts w:hint="eastAsia" w:ascii="Times New Roman Regular" w:hAnsi="Times New Roman Regular" w:cs="Times New Roman Regular"/>
          <w:color w:val="000000" w:themeColor="text1"/>
          <w:sz w:val="24"/>
          <w14:textFill>
            <w14:solidFill>
              <w14:schemeClr w14:val="tx1"/>
            </w14:solidFill>
          </w14:textFill>
        </w:rPr>
        <w:t>, Roquet</w:t>
      </w:r>
      <w:r>
        <w:rPr>
          <w:rFonts w:hint="default" w:ascii="Times New Roman Regular" w:hAnsi="Times New Roman Regular" w:cs="Times New Roman Regular"/>
          <w:color w:val="000000" w:themeColor="text1"/>
          <w:sz w:val="24"/>
          <w:lang w:val="en-US"/>
          <w14:textFill>
            <w14:solidFill>
              <w14:schemeClr w14:val="tx1"/>
            </w14:solidFill>
          </w14:textFill>
        </w:rPr>
        <w:t>,</w:t>
      </w:r>
      <w:r>
        <w:rPr>
          <w:rFonts w:hint="eastAsia" w:ascii="Times New Roman Regular" w:hAnsi="Times New Roman Regular" w:cs="Times New Roman Regular"/>
          <w:color w:val="000000" w:themeColor="text1"/>
          <w:sz w:val="24"/>
          <w14:textFill>
            <w14:solidFill>
              <w14:schemeClr w14:val="tx1"/>
            </w14:solidFill>
          </w14:textFill>
        </w:rPr>
        <w:t xml:space="preserve"> Cheng</w:t>
      </w:r>
      <w:r>
        <w:rPr>
          <w:rFonts w:hint="default" w:ascii="Times New Roman Regular" w:hAnsi="Times New Roman Regular" w:cs="Times New Roman Regular"/>
          <w:color w:val="000000" w:themeColor="text1"/>
          <w:sz w:val="24"/>
          <w:lang w:val="en-US"/>
          <w14:textFill>
            <w14:solidFill>
              <w14:schemeClr w14:val="tx1"/>
            </w14:solidFill>
          </w14:textFill>
        </w:rPr>
        <w:t xml:space="preserve">, </w:t>
      </w:r>
      <w:r>
        <w:rPr>
          <w:rFonts w:ascii="Times New Roman Regular" w:hAnsi="Times New Roman Regular" w:cs="Times New Roman Regular"/>
          <w:color w:val="000000" w:themeColor="text1"/>
          <w:sz w:val="24"/>
          <w14:textFill>
            <w14:solidFill>
              <w14:schemeClr w14:val="tx1"/>
            </w14:solidFill>
          </w14:textFill>
        </w:rPr>
        <w:t>et al. (GRC23). Similar to bottle bias correction, GRC23 is the only correction scheme for APB bias, and the upper and lower bounds represent a conservative and aggressive estimate of the correction.</w:t>
      </w:r>
    </w:p>
    <w:p w14:paraId="19C70B4D">
      <w:pPr>
        <w:numPr>
          <w:ilvl w:val="0"/>
          <w:numId w:val="7"/>
        </w:numPr>
        <w:spacing w:line="360" w:lineRule="auto"/>
        <w:rPr>
          <w:rFonts w:ascii="Times New Roman Regular" w:hAnsi="Times New Roman Regular" w:cs="Times New Roman Regular"/>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GRC23: Gouretski</w:t>
      </w:r>
      <w:r>
        <w:rPr>
          <w:rFonts w:hint="default" w:ascii="Times New Roman Regular" w:hAnsi="Times New Roman Regular" w:cs="Times New Roman Regular"/>
          <w:color w:val="000000" w:themeColor="text1"/>
          <w:sz w:val="24"/>
          <w:lang w:val="en-US"/>
          <w14:textFill>
            <w14:solidFill>
              <w14:schemeClr w14:val="tx1"/>
            </w14:solidFill>
          </w14:textFill>
        </w:rPr>
        <w:t>,</w:t>
      </w:r>
      <w:r>
        <w:rPr>
          <w:rFonts w:ascii="Times New Roman Regular" w:hAnsi="Times New Roman Regular" w:cs="Times New Roman Regular"/>
          <w:color w:val="000000" w:themeColor="text1"/>
          <w:sz w:val="24"/>
          <w14:textFill>
            <w14:solidFill>
              <w14:schemeClr w14:val="tx1"/>
            </w14:solidFill>
          </w14:textFill>
        </w:rPr>
        <w:t xml:space="preserve"> et al. 2023</w:t>
      </w:r>
    </w:p>
    <w:p w14:paraId="04093C74">
      <w:pPr>
        <w:numPr>
          <w:ilvl w:val="0"/>
          <w:numId w:val="7"/>
        </w:numPr>
        <w:spacing w:line="360" w:lineRule="auto"/>
        <w:rPr>
          <w:rFonts w:ascii="Times New Roman Regular" w:hAnsi="Times New Roman Regular" w:cs="Times New Roman Regular"/>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GRC23-Lower: Gouretski</w:t>
      </w:r>
      <w:r>
        <w:rPr>
          <w:rFonts w:hint="default" w:ascii="Times New Roman Regular" w:hAnsi="Times New Roman Regular" w:cs="Times New Roman Regular"/>
          <w:color w:val="000000" w:themeColor="text1"/>
          <w:sz w:val="24"/>
          <w:lang w:val="en-US"/>
          <w14:textFill>
            <w14:solidFill>
              <w14:schemeClr w14:val="tx1"/>
            </w14:solidFill>
          </w14:textFill>
        </w:rPr>
        <w:t>,</w:t>
      </w:r>
      <w:r>
        <w:rPr>
          <w:rFonts w:ascii="Times New Roman Regular" w:hAnsi="Times New Roman Regular" w:cs="Times New Roman Regular"/>
          <w:color w:val="000000" w:themeColor="text1"/>
          <w:sz w:val="24"/>
          <w14:textFill>
            <w14:solidFill>
              <w14:schemeClr w14:val="tx1"/>
            </w14:solidFill>
          </w14:textFill>
        </w:rPr>
        <w:t xml:space="preserve"> et al. 2023</w:t>
      </w:r>
    </w:p>
    <w:p w14:paraId="7160D972">
      <w:pPr>
        <w:numPr>
          <w:ilvl w:val="0"/>
          <w:numId w:val="6"/>
        </w:numPr>
        <w:spacing w:line="360" w:lineRule="auto"/>
        <w:rPr>
          <w:rFonts w:ascii="Times New Roman" w:hAnsi="Times New Roman" w:eastAsia="DengXian" w:cs="Times New Roman"/>
          <w:sz w:val="24"/>
        </w:rPr>
      </w:pPr>
      <w:r>
        <w:rPr>
          <w:rFonts w:ascii="Times New Roman Regular" w:hAnsi="Times New Roman Regular" w:cs="Times New Roman Regular"/>
          <w:color w:val="000000" w:themeColor="text1"/>
          <w:sz w:val="24"/>
          <w14:textFill>
            <w14:solidFill>
              <w14:schemeClr w14:val="tx1"/>
            </w14:solidFill>
          </w14:textFill>
        </w:rPr>
        <w:t>GRC23-Upper: Gouretski</w:t>
      </w:r>
      <w:r>
        <w:rPr>
          <w:rFonts w:hint="default" w:ascii="Times New Roman Regular" w:hAnsi="Times New Roman Regular" w:cs="Times New Roman Regular"/>
          <w:color w:val="000000" w:themeColor="text1"/>
          <w:sz w:val="24"/>
          <w:lang w:val="en-US"/>
          <w14:textFill>
            <w14:solidFill>
              <w14:schemeClr w14:val="tx1"/>
            </w14:solidFill>
          </w14:textFill>
        </w:rPr>
        <w:t>,</w:t>
      </w:r>
      <w:r>
        <w:rPr>
          <w:rFonts w:ascii="Times New Roman Regular" w:hAnsi="Times New Roman Regular" w:cs="Times New Roman Regular"/>
          <w:color w:val="000000" w:themeColor="text1"/>
          <w:sz w:val="24"/>
          <w14:textFill>
            <w14:solidFill>
              <w14:schemeClr w14:val="tx1"/>
            </w14:solidFill>
          </w14:textFill>
        </w:rPr>
        <w:t xml:space="preserve"> et al. 2023</w:t>
      </w:r>
    </w:p>
    <w:p w14:paraId="585E41EC">
      <w:pPr>
        <w:spacing w:line="360" w:lineRule="auto"/>
      </w:pPr>
    </w:p>
    <w:p w14:paraId="3313CD75">
      <w:pPr>
        <w:pStyle w:val="5"/>
        <w:spacing w:before="0" w:after="0"/>
        <w:rPr>
          <w:sz w:val="24"/>
          <w:szCs w:val="22"/>
        </w:rPr>
      </w:pPr>
      <w:r>
        <w:rPr>
          <w:sz w:val="24"/>
          <w:szCs w:val="22"/>
        </w:rPr>
        <w:t>1.1.7 MBT仪器数据偏差订正方法（MBT bias correction）</w:t>
      </w:r>
    </w:p>
    <w:p w14:paraId="19BDC95D">
      <w:pPr>
        <w:numPr>
          <w:ilvl w:val="0"/>
          <w:numId w:val="8"/>
        </w:numPr>
        <w:spacing w:line="360" w:lineRule="auto"/>
        <w:rPr>
          <w:rFonts w:ascii="Times New Roman Regular" w:hAnsi="Times New Roman Regular" w:cs="Times New Roman Regular"/>
          <w:sz w:val="24"/>
        </w:rPr>
      </w:pPr>
      <w:r>
        <w:rPr>
          <w:rFonts w:ascii="Times New Roman Regular" w:hAnsi="Times New Roman Regular" w:cs="Times New Roman Regular"/>
          <w:color w:val="000000" w:themeColor="text1"/>
          <w:sz w:val="24"/>
          <w14:textFill>
            <w14:solidFill>
              <w14:schemeClr w14:val="tx1"/>
            </w14:solidFill>
          </w14:textFill>
        </w:rPr>
        <w:t>GC20: Gouretski, Cheng, et al. 2020</w:t>
      </w:r>
    </w:p>
    <w:p w14:paraId="337A7736">
      <w:pPr>
        <w:numPr>
          <w:ilvl w:val="0"/>
          <w:numId w:val="8"/>
        </w:numPr>
        <w:spacing w:line="360" w:lineRule="auto"/>
        <w:rPr>
          <w:rFonts w:ascii="Times New Roman Regular" w:hAnsi="Times New Roman Regular" w:cs="Times New Roman Regular"/>
          <w:sz w:val="24"/>
        </w:rPr>
      </w:pPr>
      <w:r>
        <w:rPr>
          <w:rFonts w:hint="eastAsia" w:ascii="Times New Roman Regular" w:hAnsi="Times New Roman Regular" w:cs="Times New Roman Regular"/>
          <w:color w:val="000000" w:themeColor="text1"/>
          <w:sz w:val="24"/>
          <w14:textFill>
            <w14:solidFill>
              <w14:schemeClr w14:val="tx1"/>
            </w14:solidFill>
          </w14:textFill>
        </w:rPr>
        <w:t xml:space="preserve">IK09: </w:t>
      </w:r>
      <w:r>
        <w:rPr>
          <w:rFonts w:ascii="Times New Roman Regular" w:hAnsi="Times New Roman Regular" w:cs="Times New Roman Regular"/>
          <w:color w:val="000000" w:themeColor="text1"/>
          <w:sz w:val="24"/>
          <w14:textFill>
            <w14:solidFill>
              <w14:schemeClr w14:val="tx1"/>
            </w14:solidFill>
          </w14:textFill>
        </w:rPr>
        <w:t>Ishii, et al. 2009</w:t>
      </w:r>
    </w:p>
    <w:p w14:paraId="3A15A53B">
      <w:pPr>
        <w:numPr>
          <w:ilvl w:val="0"/>
          <w:numId w:val="8"/>
        </w:numPr>
        <w:spacing w:line="360" w:lineRule="auto"/>
        <w:rPr>
          <w:rFonts w:ascii="Times New Roman Regular" w:hAnsi="Times New Roman Regular" w:cs="Times New Roman Regular"/>
          <w:sz w:val="24"/>
        </w:rPr>
      </w:pPr>
      <w:r>
        <w:rPr>
          <w:rFonts w:hint="eastAsia" w:ascii="Times New Roman Regular" w:hAnsi="Times New Roman Regular" w:cs="Times New Roman Regular"/>
          <w:color w:val="000000" w:themeColor="text1"/>
          <w:sz w:val="24"/>
          <w14:textFill>
            <w14:solidFill>
              <w14:schemeClr w14:val="tx1"/>
            </w14:solidFill>
          </w14:textFill>
        </w:rPr>
        <w:t xml:space="preserve">GR10: </w:t>
      </w:r>
      <w:r>
        <w:rPr>
          <w:rFonts w:ascii="Times New Roman Regular" w:hAnsi="Times New Roman Regular" w:cs="Times New Roman Regular"/>
          <w:color w:val="000000" w:themeColor="text1"/>
          <w:sz w:val="24"/>
          <w14:textFill>
            <w14:solidFill>
              <w14:schemeClr w14:val="tx1"/>
            </w14:solidFill>
          </w14:textFill>
        </w:rPr>
        <w:t>Gouretski, Reseghetti, et al. 2010</w:t>
      </w:r>
    </w:p>
    <w:p w14:paraId="22DBAEA4">
      <w:pPr>
        <w:spacing w:line="360" w:lineRule="auto"/>
        <w:rPr>
          <w:rFonts w:ascii="Times New Roman Regular" w:hAnsi="Times New Roman Regular" w:cs="Times New Roman Regular"/>
        </w:rPr>
      </w:pPr>
    </w:p>
    <w:p w14:paraId="60C79FF8">
      <w:pPr>
        <w:pStyle w:val="5"/>
        <w:spacing w:before="0" w:after="0" w:line="360" w:lineRule="auto"/>
        <w:rPr>
          <w:sz w:val="24"/>
          <w:szCs w:val="22"/>
        </w:rPr>
      </w:pPr>
      <w:r>
        <w:rPr>
          <w:sz w:val="24"/>
          <w:szCs w:val="22"/>
        </w:rPr>
        <w:t xml:space="preserve">1.1.8 </w:t>
      </w:r>
      <w:r>
        <w:rPr>
          <w:rFonts w:hint="eastAsia"/>
          <w:sz w:val="24"/>
          <w:szCs w:val="22"/>
        </w:rPr>
        <w:t>采样/格点化误差和设备误差（</w:t>
      </w:r>
      <w:r>
        <w:rPr>
          <w:sz w:val="24"/>
          <w:szCs w:val="22"/>
        </w:rPr>
        <w:t>Sampling/Mapping and Instrumental errors</w:t>
      </w:r>
      <w:r>
        <w:rPr>
          <w:rFonts w:hint="eastAsia"/>
          <w:sz w:val="24"/>
          <w:szCs w:val="22"/>
        </w:rPr>
        <w:t>）</w:t>
      </w:r>
    </w:p>
    <w:p w14:paraId="6550D77D">
      <w:pPr>
        <w:spacing w:line="360" w:lineRule="auto"/>
        <w:ind w:firstLine="240" w:firstLineChars="100"/>
        <w:rPr>
          <w:rFonts w:ascii="Times New Roman Regular" w:hAnsi="Times New Roman Regular" w:cs="Times New Roman Regular"/>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 xml:space="preserve">IAP mapping can provide a reasonable estimate of mapping uncertainty, because it is an Ensemble Optimal Interpolation (EnOI) approach with the CMIP5 multi-model ensemble (30 models) as </w:t>
      </w:r>
      <w:r>
        <w:rPr>
          <w:rFonts w:ascii="Times New Roman Regular" w:hAnsi="Times New Roman Regular" w:cs="Times New Roman Regular"/>
          <w:i/>
          <w:iCs/>
          <w:color w:val="000000" w:themeColor="text1"/>
          <w:sz w:val="24"/>
          <w14:textFill>
            <w14:solidFill>
              <w14:schemeClr w14:val="tx1"/>
            </w14:solidFill>
          </w14:textFill>
        </w:rPr>
        <w:t>prior</w:t>
      </w:r>
      <w:r>
        <w:rPr>
          <w:rFonts w:ascii="Times New Roman Regular" w:hAnsi="Times New Roman Regular" w:cs="Times New Roman Regular"/>
          <w:color w:val="000000" w:themeColor="text1"/>
          <w:sz w:val="24"/>
          <w14:textFill>
            <w14:solidFill>
              <w14:schemeClr w14:val="tx1"/>
            </w14:solidFill>
          </w14:textFill>
        </w:rPr>
        <w:t xml:space="preserve"> to represent our current understanding of the ocean changes (the larger spread in models, the poorer understanding of physical changes, especially in regions with large data gaps where there is no observational information to estimate uncertainty). </w:t>
      </w:r>
      <w:r>
        <w:rPr>
          <w:rFonts w:ascii="Times New Roman" w:hAnsi="Times New Roman" w:cs="Times New Roman"/>
          <w:color w:val="000000" w:themeColor="text1"/>
          <w:sz w:val="24"/>
          <w14:textFill>
            <w14:solidFill>
              <w14:schemeClr w14:val="tx1"/>
            </w14:solidFill>
          </w14:textFill>
        </w:rPr>
        <w:t xml:space="preserve">The observation accuracy set by IQuOD is used to constrain the model spread and derive the final ensemble of the analysis field. </w:t>
      </w:r>
      <w:r>
        <w:rPr>
          <w:rFonts w:hint="eastAsia" w:ascii="Times New Roman Regular" w:hAnsi="Times New Roman Regular" w:cs="Times New Roman Regular"/>
          <w:color w:val="000000" w:themeColor="text1"/>
          <w:sz w:val="24"/>
          <w14:textFill>
            <w14:solidFill>
              <w14:schemeClr w14:val="tx1"/>
            </w14:solidFill>
          </w14:textFill>
        </w:rPr>
        <w:t>T</w:t>
      </w:r>
      <w:r>
        <w:rPr>
          <w:rFonts w:ascii="Times New Roman Regular" w:hAnsi="Times New Roman Regular" w:cs="Times New Roman Regular"/>
          <w:color w:val="000000" w:themeColor="text1"/>
          <w:sz w:val="24"/>
          <w14:textFill>
            <w14:solidFill>
              <w14:schemeClr w14:val="tx1"/>
            </w14:solidFill>
          </w14:textFill>
        </w:rPr>
        <w:t>h</w:t>
      </w:r>
      <w:r>
        <w:rPr>
          <w:rFonts w:hint="eastAsia" w:ascii="Times New Roman Regular" w:hAnsi="Times New Roman Regular" w:cs="Times New Roman Regular"/>
          <w:color w:val="000000" w:themeColor="text1"/>
          <w:sz w:val="24"/>
          <w14:textFill>
            <w14:solidFill>
              <w14:schemeClr w14:val="tx1"/>
            </w14:solidFill>
          </w14:textFill>
        </w:rPr>
        <w:t>e</w:t>
      </w:r>
      <w:r>
        <w:rPr>
          <w:rFonts w:ascii="Times New Roman Regular" w:hAnsi="Times New Roman Regular" w:cs="Times New Roman Regular"/>
          <w:color w:val="000000" w:themeColor="text1"/>
          <w:sz w:val="24"/>
          <w14:textFill>
            <w14:solidFill>
              <w14:schemeClr w14:val="tx1"/>
            </w14:solidFill>
          </w14:textFill>
        </w:rPr>
        <w:t xml:space="preserve"> resultant 30 analysis field after EnOI can be represented as the uncertainty of sampling/mapping and instrumental errors.</w:t>
      </w:r>
      <w:r>
        <w:rPr>
          <w:rFonts w:ascii="Times New Roman" w:hAnsi="Times New Roman" w:cs="Times New Roman"/>
          <w:color w:val="000000" w:themeColor="text1"/>
          <w:sz w:val="24"/>
          <w14:textFill>
            <w14:solidFill>
              <w14:schemeClr w14:val="tx1"/>
            </w14:solidFill>
          </w14:textFill>
        </w:rPr>
        <w:t xml:space="preserve"> Thus, the more data and the higher quality, the smaller the ensemble spread in the final analysis, representing smaller uncertainty in reconstruction. Here, we randomly select 9 ensemble members from the EnOI analysis and add </w:t>
      </w:r>
      <w:r>
        <w:rPr>
          <w:rFonts w:hint="eastAsia" w:ascii="Times New Roman" w:hAnsi="Times New Roman" w:cs="Times New Roman"/>
          <w:color w:val="000000" w:themeColor="text1"/>
          <w:sz w:val="24"/>
          <w14:textFill>
            <w14:solidFill>
              <w14:schemeClr w14:val="tx1"/>
            </w14:solidFill>
          </w14:textFill>
        </w:rPr>
        <w:t>them to the Large-Ensemble; the spread of the 9 members represen</w:t>
      </w:r>
      <w:r>
        <w:rPr>
          <w:rFonts w:ascii="Times New Roman" w:hAnsi="Times New Roman" w:cs="Times New Roman"/>
          <w:color w:val="000000" w:themeColor="text1"/>
          <w:sz w:val="24"/>
          <w14:textFill>
            <w14:solidFill>
              <w14:schemeClr w14:val="tx1"/>
            </w14:solidFill>
          </w14:textFill>
        </w:rPr>
        <w:t>ts the sampling/mapping and instrumental uncertainty.</w:t>
      </w:r>
    </w:p>
    <w:p w14:paraId="6967D3EA">
      <w:pPr>
        <w:spacing w:line="360" w:lineRule="auto"/>
        <w:ind w:firstLine="480" w:firstLineChars="200"/>
        <w:rPr>
          <w:rFonts w:ascii="Times New Roman Regular" w:hAnsi="Times New Roman Regular" w:cs="Times New Roman Regular"/>
          <w:color w:val="000000" w:themeColor="text1"/>
          <w:sz w:val="24"/>
          <w14:textFill>
            <w14:solidFill>
              <w14:schemeClr w14:val="tx1"/>
            </w14:solidFill>
          </w14:textFill>
        </w:rPr>
      </w:pPr>
      <w:r>
        <w:rPr>
          <w:rFonts w:ascii="Times New Roman Regular" w:hAnsi="Times New Roman Regular" w:cs="Times New Roman Regular"/>
          <w:color w:val="000000" w:themeColor="text1"/>
          <w:sz w:val="24"/>
          <w14:textFill>
            <w14:solidFill>
              <w14:schemeClr w14:val="tx1"/>
            </w14:solidFill>
          </w14:textFill>
        </w:rPr>
        <w:t>IAP</w:t>
      </w:r>
      <w:r>
        <w:rPr>
          <w:rFonts w:hint="eastAsia" w:ascii="Times New Roman Regular" w:hAnsi="Times New Roman Regular" w:cs="Times New Roman Regular"/>
          <w:color w:val="000000" w:themeColor="text1"/>
          <w:sz w:val="24"/>
          <w14:textFill>
            <w14:solidFill>
              <w14:schemeClr w14:val="tx1"/>
            </w14:solidFill>
          </w14:textFill>
        </w:rPr>
        <w:t>的格点化</w:t>
      </w:r>
      <w:r>
        <w:rPr>
          <w:rFonts w:ascii="Times New Roman Regular" w:hAnsi="Times New Roman Regular" w:cs="Times New Roman Regular"/>
          <w:color w:val="000000" w:themeColor="text1"/>
          <w:sz w:val="24"/>
          <w14:textFill>
            <w14:solidFill>
              <w14:schemeClr w14:val="tx1"/>
            </w14:solidFill>
          </w14:textFill>
        </w:rPr>
        <w:t>方法因其采用集合最优插值（EnOI）方法，能够估算</w:t>
      </w:r>
      <w:r>
        <w:rPr>
          <w:rFonts w:hint="eastAsia" w:ascii="Times New Roman Regular" w:hAnsi="Times New Roman Regular" w:cs="Times New Roman Regular"/>
          <w:color w:val="000000" w:themeColor="text1"/>
          <w:sz w:val="24"/>
          <w14:textFill>
            <w14:solidFill>
              <w14:schemeClr w14:val="tx1"/>
            </w14:solidFill>
          </w14:textFill>
        </w:rPr>
        <w:t>格点化过程中的</w:t>
      </w:r>
      <w:r>
        <w:rPr>
          <w:rFonts w:ascii="Times New Roman Regular" w:hAnsi="Times New Roman Regular" w:cs="Times New Roman Regular"/>
          <w:color w:val="000000" w:themeColor="text1"/>
          <w:sz w:val="24"/>
          <w14:textFill>
            <w14:solidFill>
              <w14:schemeClr w14:val="tx1"/>
            </w14:solidFill>
          </w14:textFill>
        </w:rPr>
        <w:t>不确定性</w:t>
      </w:r>
      <w:r>
        <w:rPr>
          <w:rFonts w:hint="eastAsia" w:ascii="Times New Roman Regular" w:hAnsi="Times New Roman Regular" w:cs="Times New Roman Regular"/>
          <w:color w:val="000000" w:themeColor="text1"/>
          <w:sz w:val="24"/>
          <w14:textFill>
            <w14:solidFill>
              <w14:schemeClr w14:val="tx1"/>
            </w14:solidFill>
          </w14:textFill>
        </w:rPr>
        <w:t>。该方法以</w:t>
      </w:r>
      <w:r>
        <w:rPr>
          <w:rFonts w:ascii="Times New Roman Regular" w:hAnsi="Times New Roman Regular" w:cs="Times New Roman Regular"/>
          <w:color w:val="000000" w:themeColor="text1"/>
          <w:sz w:val="24"/>
          <w14:textFill>
            <w14:solidFill>
              <w14:schemeClr w14:val="tx1"/>
            </w14:solidFill>
          </w14:textFill>
        </w:rPr>
        <w:t>CMIP5多</w:t>
      </w:r>
      <w:r>
        <w:rPr>
          <w:rFonts w:hint="eastAsia" w:ascii="Times New Roman Regular" w:hAnsi="Times New Roman Regular" w:cs="Times New Roman Regular"/>
          <w:color w:val="000000" w:themeColor="text1"/>
          <w:sz w:val="24"/>
          <w14:textFill>
            <w14:solidFill>
              <w14:schemeClr w14:val="tx1"/>
            </w14:solidFill>
          </w14:textFill>
        </w:rPr>
        <w:t>模式</w:t>
      </w:r>
      <w:r>
        <w:rPr>
          <w:rFonts w:ascii="Times New Roman Regular" w:hAnsi="Times New Roman Regular" w:cs="Times New Roman Regular"/>
          <w:color w:val="000000" w:themeColor="text1"/>
          <w:sz w:val="24"/>
          <w14:textFill>
            <w14:solidFill>
              <w14:schemeClr w14:val="tx1"/>
            </w14:solidFill>
          </w14:textFill>
        </w:rPr>
        <w:t>集合（30个</w:t>
      </w:r>
      <w:r>
        <w:rPr>
          <w:rFonts w:hint="eastAsia" w:ascii="Times New Roman Regular" w:hAnsi="Times New Roman Regular" w:cs="Times New Roman Regular"/>
          <w:color w:val="000000" w:themeColor="text1"/>
          <w:sz w:val="24"/>
          <w14:textFill>
            <w14:solidFill>
              <w14:schemeClr w14:val="tx1"/>
            </w14:solidFill>
          </w14:textFill>
        </w:rPr>
        <w:t>模式</w:t>
      </w:r>
      <w:r>
        <w:rPr>
          <w:rFonts w:ascii="Times New Roman Regular" w:hAnsi="Times New Roman Regular" w:cs="Times New Roman Regular"/>
          <w:color w:val="000000" w:themeColor="text1"/>
          <w:sz w:val="24"/>
          <w14:textFill>
            <w14:solidFill>
              <w14:schemeClr w14:val="tx1"/>
            </w14:solidFill>
          </w14:textFill>
        </w:rPr>
        <w:t>）作为先验信息，来表征当前对海洋变化的认识（</w:t>
      </w:r>
      <w:r>
        <w:rPr>
          <w:rFonts w:hint="eastAsia" w:ascii="Times New Roman Regular" w:hAnsi="Times New Roman Regular" w:cs="Times New Roman Regular"/>
          <w:color w:val="000000" w:themeColor="text1"/>
          <w:sz w:val="24"/>
          <w14:textFill>
            <w14:solidFill>
              <w14:schemeClr w14:val="tx1"/>
            </w14:solidFill>
          </w14:textFill>
        </w:rPr>
        <w:t>模式</w:t>
      </w:r>
      <w:r>
        <w:rPr>
          <w:rFonts w:ascii="Times New Roman Regular" w:hAnsi="Times New Roman Regular" w:cs="Times New Roman Regular"/>
          <w:color w:val="000000" w:themeColor="text1"/>
          <w:sz w:val="24"/>
          <w14:textFill>
            <w14:solidFill>
              <w14:schemeClr w14:val="tx1"/>
            </w14:solidFill>
          </w14:textFill>
        </w:rPr>
        <w:t>离散度越大，表明对物理变化的</w:t>
      </w:r>
      <w:r>
        <w:rPr>
          <w:rFonts w:hint="eastAsia" w:ascii="Times New Roman Regular" w:hAnsi="Times New Roman Regular" w:cs="Times New Roman Regular"/>
          <w:color w:val="000000" w:themeColor="text1"/>
          <w:sz w:val="24"/>
          <w14:textFill>
            <w14:solidFill>
              <w14:schemeClr w14:val="tx1"/>
            </w14:solidFill>
          </w14:textFill>
        </w:rPr>
        <w:t>模拟偏差越大，对海洋状态的认识不确定性越大，尤其是缺乏观测数据，无法估算不确定性的区域）</w:t>
      </w:r>
      <w:r>
        <w:rPr>
          <w:rFonts w:ascii="Times New Roman Regular" w:hAnsi="Times New Roman Regular" w:cs="Times New Roman Regular"/>
          <w:color w:val="000000" w:themeColor="text1"/>
          <w:sz w:val="24"/>
          <w14:textFill>
            <w14:solidFill>
              <w14:schemeClr w14:val="tx1"/>
            </w14:solidFill>
          </w14:textFill>
        </w:rPr>
        <w:t>。</w:t>
      </w:r>
      <w:r>
        <w:rPr>
          <w:rFonts w:hint="eastAsia" w:ascii="Times New Roman Regular" w:hAnsi="Times New Roman Regular" w:cs="Times New Roman Regular"/>
          <w:color w:val="000000" w:themeColor="text1"/>
          <w:sz w:val="24"/>
          <w14:textFill>
            <w14:solidFill>
              <w14:schemeClr w14:val="tx1"/>
            </w14:solidFill>
          </w14:textFill>
        </w:rPr>
        <w:t>本研究采用IQuOD设定的观测准确度来约束模型先验场，最终生成分析场的集合结果。EnOI方法处理后的30组分析场可表征采样/格点化误差与仪器误差带来的不确定性。因此，观测数据越多、质量越高，最终分析结果的集合离散度就越小，重建数据不确定性越低。这里，我们随机选择了9个集合样本加入了I</w:t>
      </w:r>
      <w:r>
        <w:rPr>
          <w:rFonts w:ascii="Times New Roman Regular" w:hAnsi="Times New Roman Regular" w:cs="Times New Roman Regular"/>
          <w:color w:val="000000" w:themeColor="text1"/>
          <w:sz w:val="24"/>
          <w14:textFill>
            <w14:solidFill>
              <w14:schemeClr w14:val="tx1"/>
            </w14:solidFill>
          </w14:textFill>
        </w:rPr>
        <w:t>AP</w:t>
      </w:r>
      <w:r>
        <w:rPr>
          <w:rFonts w:hint="eastAsia" w:ascii="Times New Roman Regular" w:hAnsi="Times New Roman Regular" w:cs="Times New Roman Regular"/>
          <w:color w:val="000000" w:themeColor="text1"/>
          <w:sz w:val="24"/>
          <w14:textFill>
            <w14:solidFill>
              <w14:schemeClr w14:val="tx1"/>
            </w14:solidFill>
          </w14:textFill>
        </w:rPr>
        <w:t>大集合；这9个样本之间的差异代表了采样/格点化误差以及仪器误差。</w:t>
      </w:r>
    </w:p>
    <w:p w14:paraId="5B2C9039">
      <w:pPr>
        <w:spacing w:line="360" w:lineRule="auto"/>
        <w:rPr>
          <w:rFonts w:ascii="Times New Roman Regular" w:hAnsi="Times New Roman Regular" w:cs="Times New Roman Regular"/>
          <w:color w:val="000000" w:themeColor="text1"/>
          <w:sz w:val="24"/>
          <w14:textFill>
            <w14:solidFill>
              <w14:schemeClr w14:val="tx1"/>
            </w14:solidFill>
          </w14:textFill>
        </w:rPr>
      </w:pPr>
    </w:p>
    <w:p w14:paraId="61C0719C">
      <w:pPr>
        <w:pStyle w:val="3"/>
        <w:numPr>
          <w:ilvl w:val="0"/>
          <w:numId w:val="1"/>
        </w:numPr>
        <w:spacing w:before="0" w:after="0" w:line="360" w:lineRule="auto"/>
        <w:rPr>
          <w:sz w:val="24"/>
        </w:rPr>
      </w:pPr>
      <w:r>
        <w:rPr>
          <w:rFonts w:hint="eastAsia"/>
          <w:sz w:val="24"/>
        </w:rPr>
        <w:t>数据文件说明（</w:t>
      </w:r>
      <w:r>
        <w:rPr>
          <w:sz w:val="24"/>
        </w:rPr>
        <w:t>Data file description</w:t>
      </w:r>
      <w:r>
        <w:rPr>
          <w:rFonts w:hint="eastAsia"/>
          <w:sz w:val="24"/>
        </w:rPr>
        <w:t>）</w:t>
      </w:r>
    </w:p>
    <w:p w14:paraId="69D9FEA9">
      <w:pPr>
        <w:pStyle w:val="4"/>
        <w:spacing w:before="0" w:after="0"/>
        <w:rPr>
          <w:rFonts w:ascii="Times New Roman Regular" w:hAnsi="Times New Roman Regular" w:cs="Times New Roman Regular"/>
          <w:bCs/>
          <w:sz w:val="24"/>
        </w:rPr>
      </w:pPr>
      <w:r>
        <w:rPr>
          <w:sz w:val="24"/>
        </w:rPr>
        <w:t>2.1 海洋温度数据场（Temperature）</w:t>
      </w:r>
    </w:p>
    <w:p w14:paraId="4D8ACD5E">
      <w:pPr>
        <w:spacing w:line="360" w:lineRule="auto"/>
        <w:rPr>
          <w:rFonts w:ascii="Times New Roman Regular" w:hAnsi="Times New Roman Regular" w:cs="Times New Roman Regular"/>
          <w:sz w:val="24"/>
        </w:rPr>
      </w:pPr>
      <w:r>
        <w:rPr>
          <w:rFonts w:hint="eastAsia" w:ascii="Times New Roman Regular" w:hAnsi="Times New Roman Regular" w:cs="Times New Roman Regular"/>
          <w:b/>
          <w:bCs/>
          <w:sz w:val="24"/>
        </w:rPr>
        <w:t xml:space="preserve"> </w:t>
      </w:r>
      <w:r>
        <w:rPr>
          <w:rFonts w:ascii="Times New Roman Regular" w:hAnsi="Times New Roman Regular" w:cs="Times New Roman Regular"/>
          <w:b/>
          <w:bCs/>
          <w:sz w:val="24"/>
        </w:rPr>
        <w:t xml:space="preserve"> </w:t>
      </w:r>
      <w:r>
        <w:rPr>
          <w:rFonts w:ascii="Times New Roman Regular" w:hAnsi="Times New Roman Regular" w:cs="Times New Roman Regular"/>
          <w:sz w:val="24"/>
        </w:rPr>
        <w:t>文件夹路径</w:t>
      </w:r>
      <w:r>
        <w:rPr>
          <w:rFonts w:hint="eastAsia" w:ascii="Times New Roman Regular" w:hAnsi="Times New Roman Regular" w:cs="Times New Roman Regular"/>
          <w:sz w:val="24"/>
        </w:rPr>
        <w:t>（folder）</w:t>
      </w:r>
      <w:r>
        <w:rPr>
          <w:rFonts w:ascii="Times New Roman Regular" w:hAnsi="Times New Roman Regular" w:cs="Times New Roman Regular"/>
          <w:sz w:val="24"/>
        </w:rPr>
        <w:t>：Ensemble_data_all</w:t>
      </w:r>
    </w:p>
    <w:p w14:paraId="60F56697">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 xml:space="preserve">  变量</w:t>
      </w:r>
      <w:r>
        <w:rPr>
          <w:rFonts w:hint="eastAsia" w:ascii="Times New Roman Regular" w:hAnsi="Times New Roman Regular" w:cs="Times New Roman Regular"/>
          <w:sz w:val="24"/>
        </w:rPr>
        <w:t>名表（variable table）</w:t>
      </w:r>
      <w:r>
        <w:rPr>
          <w:rFonts w:ascii="Times New Roman Regular" w:hAnsi="Times New Roman Regular" w:cs="Times New Roman Regular"/>
          <w:sz w:val="24"/>
        </w:rPr>
        <w: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1499"/>
        <w:gridCol w:w="2201"/>
        <w:gridCol w:w="3743"/>
      </w:tblGrid>
      <w:tr w14:paraId="65D5964B">
        <w:tc>
          <w:tcPr>
            <w:tcW w:w="1079" w:type="dxa"/>
          </w:tcPr>
          <w:p w14:paraId="416D87B8">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序号</w:t>
            </w:r>
          </w:p>
        </w:tc>
        <w:tc>
          <w:tcPr>
            <w:tcW w:w="1499" w:type="dxa"/>
          </w:tcPr>
          <w:p w14:paraId="21FC8805">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变量名称</w:t>
            </w:r>
          </w:p>
        </w:tc>
        <w:tc>
          <w:tcPr>
            <w:tcW w:w="2201" w:type="dxa"/>
          </w:tcPr>
          <w:p w14:paraId="6FFAEA0D">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类型</w:t>
            </w:r>
          </w:p>
        </w:tc>
        <w:tc>
          <w:tcPr>
            <w:tcW w:w="3743" w:type="dxa"/>
          </w:tcPr>
          <w:p w14:paraId="07F1E472">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变量说明</w:t>
            </w:r>
          </w:p>
        </w:tc>
      </w:tr>
      <w:tr w14:paraId="2726A451">
        <w:tc>
          <w:tcPr>
            <w:tcW w:w="1079" w:type="dxa"/>
            <w:shd w:val="clear" w:color="auto" w:fill="auto"/>
          </w:tcPr>
          <w:p w14:paraId="4DF3B3E1">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w:t>
            </w:r>
          </w:p>
        </w:tc>
        <w:tc>
          <w:tcPr>
            <w:tcW w:w="1499" w:type="dxa"/>
          </w:tcPr>
          <w:p w14:paraId="1948A98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lat</w:t>
            </w:r>
          </w:p>
        </w:tc>
        <w:tc>
          <w:tcPr>
            <w:tcW w:w="2201" w:type="dxa"/>
          </w:tcPr>
          <w:p w14:paraId="139BDA36">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1×180 double</w:t>
            </w:r>
          </w:p>
        </w:tc>
        <w:tc>
          <w:tcPr>
            <w:tcW w:w="3743" w:type="dxa"/>
          </w:tcPr>
          <w:p w14:paraId="5D0F185E">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全球纬度网格</w:t>
            </w:r>
          </w:p>
        </w:tc>
      </w:tr>
      <w:tr w14:paraId="0EE677F7">
        <w:tc>
          <w:tcPr>
            <w:tcW w:w="1079" w:type="dxa"/>
            <w:shd w:val="clear" w:color="auto" w:fill="auto"/>
          </w:tcPr>
          <w:p w14:paraId="107A8CEC">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2</w:t>
            </w:r>
          </w:p>
        </w:tc>
        <w:tc>
          <w:tcPr>
            <w:tcW w:w="1499" w:type="dxa"/>
          </w:tcPr>
          <w:p w14:paraId="487CF6E0">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lon</w:t>
            </w:r>
          </w:p>
        </w:tc>
        <w:tc>
          <w:tcPr>
            <w:tcW w:w="2201" w:type="dxa"/>
          </w:tcPr>
          <w:p w14:paraId="7D17D19A">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1×360 double</w:t>
            </w:r>
          </w:p>
        </w:tc>
        <w:tc>
          <w:tcPr>
            <w:tcW w:w="3743" w:type="dxa"/>
          </w:tcPr>
          <w:p w14:paraId="15D1062C">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全球精度网格</w:t>
            </w:r>
          </w:p>
        </w:tc>
      </w:tr>
      <w:tr w14:paraId="4623D51E">
        <w:tc>
          <w:tcPr>
            <w:tcW w:w="1079" w:type="dxa"/>
            <w:shd w:val="clear" w:color="auto" w:fill="auto"/>
          </w:tcPr>
          <w:p w14:paraId="3A94F820">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w:t>
            </w:r>
          </w:p>
        </w:tc>
        <w:tc>
          <w:tcPr>
            <w:tcW w:w="1499" w:type="dxa"/>
          </w:tcPr>
          <w:p w14:paraId="7FFFC2B5">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depth_std</w:t>
            </w:r>
          </w:p>
        </w:tc>
        <w:tc>
          <w:tcPr>
            <w:tcW w:w="2201" w:type="dxa"/>
          </w:tcPr>
          <w:p w14:paraId="11DD86DA">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1×119 double</w:t>
            </w:r>
          </w:p>
        </w:tc>
        <w:tc>
          <w:tcPr>
            <w:tcW w:w="3743" w:type="dxa"/>
          </w:tcPr>
          <w:p w14:paraId="7A8B1EA7">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海洋0-6000m标准水深</w:t>
            </w:r>
          </w:p>
        </w:tc>
      </w:tr>
      <w:tr w14:paraId="33C7B8B9">
        <w:tc>
          <w:tcPr>
            <w:tcW w:w="1079" w:type="dxa"/>
            <w:shd w:val="clear" w:color="auto" w:fill="auto"/>
          </w:tcPr>
          <w:p w14:paraId="67B3C1D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4</w:t>
            </w:r>
          </w:p>
        </w:tc>
        <w:tc>
          <w:tcPr>
            <w:tcW w:w="1499" w:type="dxa"/>
          </w:tcPr>
          <w:p w14:paraId="761FCB5D">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temp</w:t>
            </w:r>
            <w:r>
              <w:rPr>
                <w:rFonts w:hint="eastAsia" w:ascii="Times New Roman Regular" w:hAnsi="Times New Roman Regular" w:cs="Times New Roman Regular"/>
                <w:sz w:val="24"/>
                <w:vertAlign w:val="superscript"/>
              </w:rPr>
              <w:t>1</w:t>
            </w:r>
          </w:p>
        </w:tc>
        <w:tc>
          <w:tcPr>
            <w:tcW w:w="2201" w:type="dxa"/>
          </w:tcPr>
          <w:p w14:paraId="3CC99776">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119×360×180 int32</w:t>
            </w:r>
          </w:p>
        </w:tc>
        <w:tc>
          <w:tcPr>
            <w:tcW w:w="3743" w:type="dxa"/>
          </w:tcPr>
          <w:p w14:paraId="1CC45A45">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海洋温度格点异常场数据</w:t>
            </w:r>
          </w:p>
        </w:tc>
      </w:tr>
    </w:tbl>
    <w:p w14:paraId="5E881C96">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vertAlign w:val="superscript"/>
        </w:rPr>
        <w:t>1</w:t>
      </w:r>
      <w:r>
        <w:rPr>
          <w:rFonts w:hint="eastAsia" w:ascii="Times New Roman Regular" w:hAnsi="Times New Roman Regular" w:cs="Times New Roman Regular"/>
          <w:sz w:val="24"/>
        </w:rPr>
        <w:t>使用数据时将数据转换为浮点型后除以10000</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1499"/>
        <w:gridCol w:w="1932"/>
        <w:gridCol w:w="4012"/>
      </w:tblGrid>
      <w:tr w14:paraId="50E216BB">
        <w:tc>
          <w:tcPr>
            <w:tcW w:w="1079" w:type="dxa"/>
          </w:tcPr>
          <w:p w14:paraId="26BD87FA">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index</w:t>
            </w:r>
          </w:p>
        </w:tc>
        <w:tc>
          <w:tcPr>
            <w:tcW w:w="1499" w:type="dxa"/>
          </w:tcPr>
          <w:p w14:paraId="5016415C">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variable name</w:t>
            </w:r>
          </w:p>
        </w:tc>
        <w:tc>
          <w:tcPr>
            <w:tcW w:w="1932" w:type="dxa"/>
          </w:tcPr>
          <w:p w14:paraId="00D64177">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type</w:t>
            </w:r>
          </w:p>
        </w:tc>
        <w:tc>
          <w:tcPr>
            <w:tcW w:w="4012" w:type="dxa"/>
          </w:tcPr>
          <w:p w14:paraId="369A19F2">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comment</w:t>
            </w:r>
          </w:p>
        </w:tc>
      </w:tr>
      <w:tr w14:paraId="0CF3A622">
        <w:tc>
          <w:tcPr>
            <w:tcW w:w="1079" w:type="dxa"/>
            <w:shd w:val="clear" w:color="auto" w:fill="auto"/>
          </w:tcPr>
          <w:p w14:paraId="0C8EE39F">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w:t>
            </w:r>
          </w:p>
        </w:tc>
        <w:tc>
          <w:tcPr>
            <w:tcW w:w="1499" w:type="dxa"/>
          </w:tcPr>
          <w:p w14:paraId="60BEFC83">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lat</w:t>
            </w:r>
          </w:p>
        </w:tc>
        <w:tc>
          <w:tcPr>
            <w:tcW w:w="1932" w:type="dxa"/>
          </w:tcPr>
          <w:p w14:paraId="19EA1ECF">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1×180 double</w:t>
            </w:r>
          </w:p>
        </w:tc>
        <w:tc>
          <w:tcPr>
            <w:tcW w:w="4012" w:type="dxa"/>
          </w:tcPr>
          <w:p w14:paraId="45ACB048">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 xml:space="preserve">latitude </w:t>
            </w:r>
          </w:p>
        </w:tc>
      </w:tr>
      <w:tr w14:paraId="70D1C545">
        <w:tc>
          <w:tcPr>
            <w:tcW w:w="1079" w:type="dxa"/>
            <w:shd w:val="clear" w:color="auto" w:fill="auto"/>
          </w:tcPr>
          <w:p w14:paraId="7A391002">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2</w:t>
            </w:r>
          </w:p>
        </w:tc>
        <w:tc>
          <w:tcPr>
            <w:tcW w:w="1499" w:type="dxa"/>
          </w:tcPr>
          <w:p w14:paraId="7A281CA0">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lon</w:t>
            </w:r>
          </w:p>
        </w:tc>
        <w:tc>
          <w:tcPr>
            <w:tcW w:w="1932" w:type="dxa"/>
          </w:tcPr>
          <w:p w14:paraId="6FDF28B9">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1×360 double</w:t>
            </w:r>
          </w:p>
        </w:tc>
        <w:tc>
          <w:tcPr>
            <w:tcW w:w="4012" w:type="dxa"/>
          </w:tcPr>
          <w:p w14:paraId="5F2A321F">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 xml:space="preserve">longitude </w:t>
            </w:r>
          </w:p>
        </w:tc>
      </w:tr>
      <w:tr w14:paraId="2E1B7F4E">
        <w:tc>
          <w:tcPr>
            <w:tcW w:w="1079" w:type="dxa"/>
            <w:shd w:val="clear" w:color="auto" w:fill="auto"/>
          </w:tcPr>
          <w:p w14:paraId="3A89EB7E">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w:t>
            </w:r>
          </w:p>
        </w:tc>
        <w:tc>
          <w:tcPr>
            <w:tcW w:w="1499" w:type="dxa"/>
          </w:tcPr>
          <w:p w14:paraId="581C0B53">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depth_std</w:t>
            </w:r>
          </w:p>
        </w:tc>
        <w:tc>
          <w:tcPr>
            <w:tcW w:w="1932" w:type="dxa"/>
          </w:tcPr>
          <w:p w14:paraId="46EB6517">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1×119 double</w:t>
            </w:r>
          </w:p>
        </w:tc>
        <w:tc>
          <w:tcPr>
            <w:tcW w:w="4012" w:type="dxa"/>
          </w:tcPr>
          <w:p w14:paraId="4F91F973">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0–6000m standard depth levels in the ocean</w:t>
            </w:r>
          </w:p>
        </w:tc>
      </w:tr>
      <w:tr w14:paraId="4446AE56">
        <w:tc>
          <w:tcPr>
            <w:tcW w:w="1079" w:type="dxa"/>
            <w:shd w:val="clear" w:color="auto" w:fill="auto"/>
          </w:tcPr>
          <w:p w14:paraId="6FEF9499">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4</w:t>
            </w:r>
          </w:p>
        </w:tc>
        <w:tc>
          <w:tcPr>
            <w:tcW w:w="1499" w:type="dxa"/>
          </w:tcPr>
          <w:p w14:paraId="55249370">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temp</w:t>
            </w:r>
            <w:r>
              <w:rPr>
                <w:rFonts w:hint="eastAsia" w:ascii="Times New Roman Regular" w:hAnsi="Times New Roman Regular" w:cs="Times New Roman Regular"/>
                <w:sz w:val="24"/>
                <w:vertAlign w:val="superscript"/>
              </w:rPr>
              <w:t>1</w:t>
            </w:r>
          </w:p>
        </w:tc>
        <w:tc>
          <w:tcPr>
            <w:tcW w:w="1932" w:type="dxa"/>
          </w:tcPr>
          <w:p w14:paraId="77391237">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119×360×180 int32</w:t>
            </w:r>
          </w:p>
        </w:tc>
        <w:tc>
          <w:tcPr>
            <w:tcW w:w="4012" w:type="dxa"/>
          </w:tcPr>
          <w:p w14:paraId="637CC2B6">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 xml:space="preserve">ocean temperature anomaly </w:t>
            </w:r>
          </w:p>
        </w:tc>
      </w:tr>
    </w:tbl>
    <w:p w14:paraId="669AFA7F">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vertAlign w:val="superscript"/>
        </w:rPr>
        <w:t>1</w:t>
      </w:r>
      <w:r>
        <w:rPr>
          <w:rFonts w:hint="eastAsia" w:ascii="Times New Roman Regular" w:hAnsi="Times New Roman Regular" w:cs="Times New Roman Regular"/>
          <w:sz w:val="24"/>
        </w:rPr>
        <w:t>When using the data, convert to float and divide it by 10000.</w:t>
      </w:r>
    </w:p>
    <w:p w14:paraId="6288D17F">
      <w:pPr>
        <w:spacing w:line="360" w:lineRule="auto"/>
        <w:rPr>
          <w:rFonts w:ascii="Times New Roman Regular" w:hAnsi="Times New Roman Regular" w:cs="Times New Roman Regular"/>
          <w:sz w:val="24"/>
        </w:rPr>
      </w:pPr>
    </w:p>
    <w:p w14:paraId="35D9DC8A">
      <w:pPr>
        <w:pStyle w:val="4"/>
        <w:spacing w:before="0" w:after="0"/>
        <w:rPr>
          <w:rFonts w:ascii="Times New Roman Regular" w:hAnsi="Times New Roman Regular" w:cs="Times New Roman Regular"/>
          <w:bCs/>
          <w:sz w:val="24"/>
        </w:rPr>
      </w:pPr>
      <w:r>
        <w:rPr>
          <w:rFonts w:hint="eastAsia" w:ascii="Times New Roman Regular" w:hAnsi="Times New Roman Regular" w:cs="Times New Roman Regular"/>
          <w:bCs/>
          <w:sz w:val="24"/>
        </w:rPr>
        <w:t xml:space="preserve">2.2 海洋热含量数据场（Ocean </w:t>
      </w:r>
      <w:r>
        <w:rPr>
          <w:rFonts w:ascii="Times New Roman Regular" w:hAnsi="Times New Roman Regular" w:cs="Times New Roman Regular"/>
          <w:bCs/>
          <w:sz w:val="24"/>
        </w:rPr>
        <w:t>heat content</w:t>
      </w:r>
      <w:r>
        <w:rPr>
          <w:rFonts w:hint="eastAsia" w:ascii="Times New Roman Regular" w:hAnsi="Times New Roman Regular" w:cs="Times New Roman Regular"/>
          <w:bCs/>
          <w:sz w:val="24"/>
        </w:rPr>
        <w:t>）</w:t>
      </w:r>
    </w:p>
    <w:p w14:paraId="01EE6717">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 xml:space="preserve">  文件夹路径</w:t>
      </w:r>
      <w:r>
        <w:rPr>
          <w:rFonts w:hint="eastAsia" w:ascii="Times New Roman Regular" w:hAnsi="Times New Roman Regular" w:cs="Times New Roman Regular"/>
          <w:sz w:val="24"/>
        </w:rPr>
        <w:t>（folder）</w:t>
      </w:r>
      <w:r>
        <w:rPr>
          <w:rFonts w:ascii="Times New Roman Regular" w:hAnsi="Times New Roman Regular" w:cs="Times New Roman Regular"/>
          <w:sz w:val="24"/>
        </w:rPr>
        <w:t>：Ensemble_data_ohc_all</w:t>
      </w:r>
    </w:p>
    <w:p w14:paraId="14A0FE18">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 xml:space="preserve">  变量</w:t>
      </w:r>
      <w:r>
        <w:rPr>
          <w:rFonts w:hint="eastAsia" w:ascii="Times New Roman Regular" w:hAnsi="Times New Roman Regular" w:cs="Times New Roman Regular"/>
          <w:sz w:val="24"/>
        </w:rPr>
        <w:t>名表（variable table）</w:t>
      </w:r>
      <w:r>
        <w:rPr>
          <w:rFonts w:ascii="Times New Roman Regular" w:hAnsi="Times New Roman Regular" w:cs="Times New Roman Regular"/>
          <w:sz w:val="24"/>
        </w:rPr>
        <w:t>：</w:t>
      </w:r>
    </w:p>
    <w:tbl>
      <w:tblPr>
        <w:tblStyle w:val="12"/>
        <w:tblW w:w="8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1916"/>
        <w:gridCol w:w="1713"/>
        <w:gridCol w:w="3943"/>
      </w:tblGrid>
      <w:tr w14:paraId="6A42370C">
        <w:trPr>
          <w:jc w:val="center"/>
        </w:trPr>
        <w:tc>
          <w:tcPr>
            <w:tcW w:w="753" w:type="dxa"/>
          </w:tcPr>
          <w:p w14:paraId="31F57F60">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序号</w:t>
            </w:r>
          </w:p>
        </w:tc>
        <w:tc>
          <w:tcPr>
            <w:tcW w:w="1916" w:type="dxa"/>
          </w:tcPr>
          <w:p w14:paraId="32244B30">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变量名称</w:t>
            </w:r>
          </w:p>
        </w:tc>
        <w:tc>
          <w:tcPr>
            <w:tcW w:w="1713" w:type="dxa"/>
          </w:tcPr>
          <w:p w14:paraId="35653B97">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类型</w:t>
            </w:r>
          </w:p>
        </w:tc>
        <w:tc>
          <w:tcPr>
            <w:tcW w:w="3943" w:type="dxa"/>
          </w:tcPr>
          <w:p w14:paraId="07ABF0D1">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变量说明</w:t>
            </w:r>
          </w:p>
        </w:tc>
      </w:tr>
      <w:tr w14:paraId="07B0890C">
        <w:trPr>
          <w:jc w:val="center"/>
        </w:trPr>
        <w:tc>
          <w:tcPr>
            <w:tcW w:w="753" w:type="dxa"/>
            <w:shd w:val="clear" w:color="auto" w:fill="auto"/>
          </w:tcPr>
          <w:p w14:paraId="0946BF40">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w:t>
            </w:r>
          </w:p>
        </w:tc>
        <w:tc>
          <w:tcPr>
            <w:tcW w:w="1916" w:type="dxa"/>
            <w:shd w:val="clear" w:color="auto" w:fill="auto"/>
          </w:tcPr>
          <w:p w14:paraId="7A239F56">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OHC0_50_final</w:t>
            </w:r>
          </w:p>
        </w:tc>
        <w:tc>
          <w:tcPr>
            <w:tcW w:w="1713" w:type="dxa"/>
          </w:tcPr>
          <w:p w14:paraId="43A4A313">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943" w:type="dxa"/>
          </w:tcPr>
          <w:p w14:paraId="1E10DB0F">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w:t>
            </w:r>
            <w:r>
              <w:rPr>
                <w:rFonts w:ascii="Times New Roman Regular" w:hAnsi="Times New Roman Regular" w:cs="Times New Roman Regular"/>
                <w:sz w:val="24"/>
              </w:rPr>
              <w:t>上层50m热含量格点数据</w:t>
            </w:r>
          </w:p>
        </w:tc>
      </w:tr>
      <w:tr w14:paraId="75371D86">
        <w:trPr>
          <w:jc w:val="center"/>
        </w:trPr>
        <w:tc>
          <w:tcPr>
            <w:tcW w:w="753" w:type="dxa"/>
            <w:shd w:val="clear" w:color="auto" w:fill="auto"/>
          </w:tcPr>
          <w:p w14:paraId="1A86467C">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2</w:t>
            </w:r>
          </w:p>
        </w:tc>
        <w:tc>
          <w:tcPr>
            <w:tcW w:w="1916" w:type="dxa"/>
            <w:shd w:val="clear" w:color="auto" w:fill="auto"/>
          </w:tcPr>
          <w:p w14:paraId="2C4AD492">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OHC0_100_final</w:t>
            </w:r>
          </w:p>
        </w:tc>
        <w:tc>
          <w:tcPr>
            <w:tcW w:w="1713" w:type="dxa"/>
          </w:tcPr>
          <w:p w14:paraId="4DC9B07E">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943" w:type="dxa"/>
          </w:tcPr>
          <w:p w14:paraId="4D84A83D">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100m上层热含量格点数据</w:t>
            </w:r>
          </w:p>
        </w:tc>
      </w:tr>
      <w:tr w14:paraId="2B2293A1">
        <w:trPr>
          <w:jc w:val="center"/>
        </w:trPr>
        <w:tc>
          <w:tcPr>
            <w:tcW w:w="753" w:type="dxa"/>
            <w:shd w:val="clear" w:color="auto" w:fill="auto"/>
          </w:tcPr>
          <w:p w14:paraId="5E749710">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w:t>
            </w:r>
          </w:p>
        </w:tc>
        <w:tc>
          <w:tcPr>
            <w:tcW w:w="1916" w:type="dxa"/>
            <w:shd w:val="clear" w:color="auto" w:fill="auto"/>
          </w:tcPr>
          <w:p w14:paraId="39D4248B">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OHC0_300_final</w:t>
            </w:r>
          </w:p>
        </w:tc>
        <w:tc>
          <w:tcPr>
            <w:tcW w:w="1713" w:type="dxa"/>
          </w:tcPr>
          <w:p w14:paraId="1A8AB945">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943" w:type="dxa"/>
          </w:tcPr>
          <w:p w14:paraId="56F25E90">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300m上层热含量格点数据</w:t>
            </w:r>
          </w:p>
        </w:tc>
      </w:tr>
      <w:tr w14:paraId="4FE1ECC4">
        <w:trPr>
          <w:jc w:val="center"/>
        </w:trPr>
        <w:tc>
          <w:tcPr>
            <w:tcW w:w="753" w:type="dxa"/>
            <w:shd w:val="clear" w:color="auto" w:fill="auto"/>
          </w:tcPr>
          <w:p w14:paraId="68864EBE">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4</w:t>
            </w:r>
          </w:p>
        </w:tc>
        <w:tc>
          <w:tcPr>
            <w:tcW w:w="1916" w:type="dxa"/>
            <w:shd w:val="clear" w:color="auto" w:fill="auto"/>
          </w:tcPr>
          <w:p w14:paraId="0387C54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OHC0_500_final</w:t>
            </w:r>
          </w:p>
        </w:tc>
        <w:tc>
          <w:tcPr>
            <w:tcW w:w="1713" w:type="dxa"/>
          </w:tcPr>
          <w:p w14:paraId="0AA766F2">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943" w:type="dxa"/>
          </w:tcPr>
          <w:p w14:paraId="53250FF4">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500m上层热含量格点数据</w:t>
            </w:r>
          </w:p>
        </w:tc>
      </w:tr>
      <w:tr w14:paraId="2633A4CB">
        <w:trPr>
          <w:jc w:val="center"/>
        </w:trPr>
        <w:tc>
          <w:tcPr>
            <w:tcW w:w="753" w:type="dxa"/>
            <w:shd w:val="clear" w:color="auto" w:fill="auto"/>
          </w:tcPr>
          <w:p w14:paraId="2944EEFA">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5</w:t>
            </w:r>
          </w:p>
        </w:tc>
        <w:tc>
          <w:tcPr>
            <w:tcW w:w="1916" w:type="dxa"/>
            <w:shd w:val="clear" w:color="auto" w:fill="auto"/>
          </w:tcPr>
          <w:p w14:paraId="5490A32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OHC0_700_final</w:t>
            </w:r>
          </w:p>
        </w:tc>
        <w:tc>
          <w:tcPr>
            <w:tcW w:w="1713" w:type="dxa"/>
          </w:tcPr>
          <w:p w14:paraId="4BCF905E">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943" w:type="dxa"/>
          </w:tcPr>
          <w:p w14:paraId="74E23C63">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700m上层热含量格点数据</w:t>
            </w:r>
          </w:p>
        </w:tc>
      </w:tr>
      <w:tr w14:paraId="3DB77F47">
        <w:trPr>
          <w:jc w:val="center"/>
        </w:trPr>
        <w:tc>
          <w:tcPr>
            <w:tcW w:w="753" w:type="dxa"/>
            <w:shd w:val="clear" w:color="auto" w:fill="auto"/>
          </w:tcPr>
          <w:p w14:paraId="2645B8EB">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6</w:t>
            </w:r>
          </w:p>
        </w:tc>
        <w:tc>
          <w:tcPr>
            <w:tcW w:w="1916" w:type="dxa"/>
            <w:shd w:val="clear" w:color="auto" w:fill="auto"/>
          </w:tcPr>
          <w:p w14:paraId="5BD3D98C">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OHC0_1000_final</w:t>
            </w:r>
          </w:p>
        </w:tc>
        <w:tc>
          <w:tcPr>
            <w:tcW w:w="1713" w:type="dxa"/>
          </w:tcPr>
          <w:p w14:paraId="694DC951">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943" w:type="dxa"/>
          </w:tcPr>
          <w:p w14:paraId="6831131F">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1000m上层热含量格点数据</w:t>
            </w:r>
          </w:p>
        </w:tc>
      </w:tr>
      <w:tr w14:paraId="350463A4">
        <w:trPr>
          <w:jc w:val="center"/>
        </w:trPr>
        <w:tc>
          <w:tcPr>
            <w:tcW w:w="753" w:type="dxa"/>
            <w:shd w:val="clear" w:color="auto" w:fill="auto"/>
          </w:tcPr>
          <w:p w14:paraId="439A99AA">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7</w:t>
            </w:r>
          </w:p>
        </w:tc>
        <w:tc>
          <w:tcPr>
            <w:tcW w:w="1916" w:type="dxa"/>
            <w:shd w:val="clear" w:color="auto" w:fill="auto"/>
          </w:tcPr>
          <w:p w14:paraId="1D05E48E">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OHC0_1500_final</w:t>
            </w:r>
          </w:p>
        </w:tc>
        <w:tc>
          <w:tcPr>
            <w:tcW w:w="1713" w:type="dxa"/>
          </w:tcPr>
          <w:p w14:paraId="061DCE3E">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943" w:type="dxa"/>
          </w:tcPr>
          <w:p w14:paraId="407DCBE8">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1500m上层热含量格点数据</w:t>
            </w:r>
          </w:p>
        </w:tc>
      </w:tr>
      <w:tr w14:paraId="6B9BAB90">
        <w:trPr>
          <w:jc w:val="center"/>
        </w:trPr>
        <w:tc>
          <w:tcPr>
            <w:tcW w:w="753" w:type="dxa"/>
            <w:shd w:val="clear" w:color="auto" w:fill="auto"/>
          </w:tcPr>
          <w:p w14:paraId="046F54B0">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8</w:t>
            </w:r>
          </w:p>
        </w:tc>
        <w:tc>
          <w:tcPr>
            <w:tcW w:w="1916" w:type="dxa"/>
            <w:shd w:val="clear" w:color="auto" w:fill="auto"/>
          </w:tcPr>
          <w:p w14:paraId="3E1089B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OHC0_2000_final</w:t>
            </w:r>
          </w:p>
        </w:tc>
        <w:tc>
          <w:tcPr>
            <w:tcW w:w="1713" w:type="dxa"/>
          </w:tcPr>
          <w:p w14:paraId="1B7F86D9">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943" w:type="dxa"/>
          </w:tcPr>
          <w:p w14:paraId="0664FF1D">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2000m上层热含量格点数据</w:t>
            </w:r>
          </w:p>
        </w:tc>
      </w:tr>
      <w:tr w14:paraId="05AD2917">
        <w:trPr>
          <w:jc w:val="center"/>
        </w:trPr>
        <w:tc>
          <w:tcPr>
            <w:tcW w:w="753" w:type="dxa"/>
            <w:shd w:val="clear" w:color="auto" w:fill="auto"/>
          </w:tcPr>
          <w:p w14:paraId="4E119DB6">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9</w:t>
            </w:r>
          </w:p>
        </w:tc>
        <w:tc>
          <w:tcPr>
            <w:tcW w:w="1916" w:type="dxa"/>
            <w:shd w:val="clear" w:color="auto" w:fill="auto"/>
          </w:tcPr>
          <w:p w14:paraId="14DC2643">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OHC0_3000_final</w:t>
            </w:r>
          </w:p>
        </w:tc>
        <w:tc>
          <w:tcPr>
            <w:tcW w:w="1713" w:type="dxa"/>
          </w:tcPr>
          <w:p w14:paraId="5CB4955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943" w:type="dxa"/>
          </w:tcPr>
          <w:p w14:paraId="16D1B22D">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3000m上层热含量格点数据</w:t>
            </w:r>
          </w:p>
        </w:tc>
      </w:tr>
      <w:tr w14:paraId="4A2BEDC9">
        <w:trPr>
          <w:jc w:val="center"/>
        </w:trPr>
        <w:tc>
          <w:tcPr>
            <w:tcW w:w="753" w:type="dxa"/>
            <w:shd w:val="clear" w:color="auto" w:fill="auto"/>
          </w:tcPr>
          <w:p w14:paraId="5F0E086F">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10</w:t>
            </w:r>
          </w:p>
        </w:tc>
        <w:tc>
          <w:tcPr>
            <w:tcW w:w="1916" w:type="dxa"/>
            <w:shd w:val="clear" w:color="auto" w:fill="auto"/>
          </w:tcPr>
          <w:p w14:paraId="38666331">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OHC0_4000_final</w:t>
            </w:r>
          </w:p>
        </w:tc>
        <w:tc>
          <w:tcPr>
            <w:tcW w:w="1713" w:type="dxa"/>
          </w:tcPr>
          <w:p w14:paraId="4AF8129C">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943" w:type="dxa"/>
          </w:tcPr>
          <w:p w14:paraId="29EED346">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4000m上层热含量格点数据</w:t>
            </w:r>
          </w:p>
        </w:tc>
      </w:tr>
      <w:tr w14:paraId="76D58777">
        <w:trPr>
          <w:jc w:val="center"/>
        </w:trPr>
        <w:tc>
          <w:tcPr>
            <w:tcW w:w="753" w:type="dxa"/>
            <w:shd w:val="clear" w:color="auto" w:fill="auto"/>
          </w:tcPr>
          <w:p w14:paraId="124E0B31">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w:t>
            </w:r>
          </w:p>
        </w:tc>
        <w:tc>
          <w:tcPr>
            <w:tcW w:w="1916" w:type="dxa"/>
            <w:shd w:val="clear" w:color="auto" w:fill="auto"/>
          </w:tcPr>
          <w:p w14:paraId="5710221A">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OHC0_5000_final</w:t>
            </w:r>
          </w:p>
        </w:tc>
        <w:tc>
          <w:tcPr>
            <w:tcW w:w="1713" w:type="dxa"/>
          </w:tcPr>
          <w:p w14:paraId="20F92E57">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943" w:type="dxa"/>
          </w:tcPr>
          <w:p w14:paraId="127392DB">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5000m上层热含量格点数据</w:t>
            </w:r>
          </w:p>
        </w:tc>
      </w:tr>
      <w:tr w14:paraId="187450E2">
        <w:trPr>
          <w:jc w:val="center"/>
        </w:trPr>
        <w:tc>
          <w:tcPr>
            <w:tcW w:w="753" w:type="dxa"/>
            <w:shd w:val="clear" w:color="auto" w:fill="auto"/>
          </w:tcPr>
          <w:p w14:paraId="78BACB00">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12</w:t>
            </w:r>
          </w:p>
        </w:tc>
        <w:tc>
          <w:tcPr>
            <w:tcW w:w="1916" w:type="dxa"/>
            <w:shd w:val="clear" w:color="auto" w:fill="auto"/>
          </w:tcPr>
          <w:p w14:paraId="310AB90F">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OHC0_6000_final</w:t>
            </w:r>
          </w:p>
        </w:tc>
        <w:tc>
          <w:tcPr>
            <w:tcW w:w="1713" w:type="dxa"/>
          </w:tcPr>
          <w:p w14:paraId="036A4A3F">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943" w:type="dxa"/>
          </w:tcPr>
          <w:p w14:paraId="1FAF058A">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6000m上层热含量格点数据</w:t>
            </w:r>
          </w:p>
        </w:tc>
      </w:tr>
    </w:tbl>
    <w:p w14:paraId="414FA819">
      <w:pPr>
        <w:spacing w:line="360" w:lineRule="auto"/>
        <w:rPr>
          <w:rFonts w:ascii="Times New Roman Regular" w:hAnsi="Times New Roman Regular" w:cs="Times New Roman Regular"/>
          <w:sz w:val="24"/>
        </w:rPr>
      </w:pPr>
    </w:p>
    <w:tbl>
      <w:tblPr>
        <w:tblStyle w:val="12"/>
        <w:tblW w:w="8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003"/>
        <w:gridCol w:w="1787"/>
        <w:gridCol w:w="3769"/>
      </w:tblGrid>
      <w:tr w14:paraId="5015F7E1">
        <w:trPr>
          <w:jc w:val="center"/>
        </w:trPr>
        <w:tc>
          <w:tcPr>
            <w:tcW w:w="767" w:type="dxa"/>
            <w:shd w:val="clear" w:color="auto" w:fill="auto"/>
          </w:tcPr>
          <w:p w14:paraId="27F09130">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index</w:t>
            </w:r>
          </w:p>
        </w:tc>
        <w:tc>
          <w:tcPr>
            <w:tcW w:w="1939" w:type="dxa"/>
            <w:shd w:val="clear" w:color="auto" w:fill="auto"/>
          </w:tcPr>
          <w:p w14:paraId="52FEAA90">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variable name</w:t>
            </w:r>
          </w:p>
        </w:tc>
        <w:tc>
          <w:tcPr>
            <w:tcW w:w="1800" w:type="dxa"/>
            <w:shd w:val="clear" w:color="auto" w:fill="auto"/>
          </w:tcPr>
          <w:p w14:paraId="0EE24522">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type</w:t>
            </w:r>
          </w:p>
        </w:tc>
        <w:tc>
          <w:tcPr>
            <w:tcW w:w="3819" w:type="dxa"/>
            <w:shd w:val="clear" w:color="auto" w:fill="auto"/>
          </w:tcPr>
          <w:p w14:paraId="1982F5A2">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comment</w:t>
            </w:r>
          </w:p>
        </w:tc>
      </w:tr>
      <w:tr w14:paraId="3945B5F7">
        <w:trPr>
          <w:jc w:val="center"/>
        </w:trPr>
        <w:tc>
          <w:tcPr>
            <w:tcW w:w="767" w:type="dxa"/>
            <w:shd w:val="clear" w:color="auto" w:fill="auto"/>
          </w:tcPr>
          <w:p w14:paraId="75D35D22">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w:t>
            </w:r>
          </w:p>
        </w:tc>
        <w:tc>
          <w:tcPr>
            <w:tcW w:w="1939" w:type="dxa"/>
            <w:shd w:val="clear" w:color="auto" w:fill="auto"/>
          </w:tcPr>
          <w:p w14:paraId="48A8DEDB">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OHC0_50_final</w:t>
            </w:r>
          </w:p>
        </w:tc>
        <w:tc>
          <w:tcPr>
            <w:tcW w:w="1800" w:type="dxa"/>
          </w:tcPr>
          <w:p w14:paraId="117A5AFE">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819" w:type="dxa"/>
          </w:tcPr>
          <w:p w14:paraId="1E01772D">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Global u</w:t>
            </w:r>
            <w:r>
              <w:rPr>
                <w:rFonts w:ascii="Times New Roman Regular" w:hAnsi="Times New Roman Regular" w:cs="Times New Roman Regular"/>
                <w:sz w:val="24"/>
              </w:rPr>
              <w:t>pper 50m ocean heat content</w:t>
            </w:r>
          </w:p>
        </w:tc>
      </w:tr>
      <w:tr w14:paraId="18EDCAEF">
        <w:trPr>
          <w:jc w:val="center"/>
        </w:trPr>
        <w:tc>
          <w:tcPr>
            <w:tcW w:w="767" w:type="dxa"/>
            <w:shd w:val="clear" w:color="auto" w:fill="auto"/>
          </w:tcPr>
          <w:p w14:paraId="42629C8C">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2</w:t>
            </w:r>
          </w:p>
        </w:tc>
        <w:tc>
          <w:tcPr>
            <w:tcW w:w="1939" w:type="dxa"/>
            <w:shd w:val="clear" w:color="auto" w:fill="auto"/>
          </w:tcPr>
          <w:p w14:paraId="5C1C7C3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OHC0_100_final</w:t>
            </w:r>
          </w:p>
        </w:tc>
        <w:tc>
          <w:tcPr>
            <w:tcW w:w="1800" w:type="dxa"/>
          </w:tcPr>
          <w:p w14:paraId="4BD5AC75">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819" w:type="dxa"/>
          </w:tcPr>
          <w:p w14:paraId="5F45EEFA">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Global u</w:t>
            </w:r>
            <w:r>
              <w:rPr>
                <w:rFonts w:ascii="Times New Roman Regular" w:hAnsi="Times New Roman Regular" w:cs="Times New Roman Regular"/>
                <w:sz w:val="24"/>
              </w:rPr>
              <w:t xml:space="preserve">pper </w:t>
            </w:r>
            <w:r>
              <w:rPr>
                <w:rFonts w:hint="eastAsia" w:ascii="Times New Roman Regular" w:hAnsi="Times New Roman Regular" w:cs="Times New Roman Regular"/>
                <w:sz w:val="24"/>
              </w:rPr>
              <w:t>10</w:t>
            </w:r>
            <w:r>
              <w:rPr>
                <w:rFonts w:ascii="Times New Roman Regular" w:hAnsi="Times New Roman Regular" w:cs="Times New Roman Regular"/>
                <w:sz w:val="24"/>
              </w:rPr>
              <w:t>0m ocean heat content</w:t>
            </w:r>
          </w:p>
        </w:tc>
      </w:tr>
      <w:tr w14:paraId="7A90B50F">
        <w:trPr>
          <w:jc w:val="center"/>
        </w:trPr>
        <w:tc>
          <w:tcPr>
            <w:tcW w:w="767" w:type="dxa"/>
            <w:shd w:val="clear" w:color="auto" w:fill="auto"/>
          </w:tcPr>
          <w:p w14:paraId="758EEBB1">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w:t>
            </w:r>
          </w:p>
        </w:tc>
        <w:tc>
          <w:tcPr>
            <w:tcW w:w="1939" w:type="dxa"/>
            <w:shd w:val="clear" w:color="auto" w:fill="auto"/>
          </w:tcPr>
          <w:p w14:paraId="06F4E056">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OHC0_300_final</w:t>
            </w:r>
          </w:p>
        </w:tc>
        <w:tc>
          <w:tcPr>
            <w:tcW w:w="1800" w:type="dxa"/>
          </w:tcPr>
          <w:p w14:paraId="7B4F009B">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819" w:type="dxa"/>
          </w:tcPr>
          <w:p w14:paraId="20D73172">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Global u</w:t>
            </w:r>
            <w:r>
              <w:rPr>
                <w:rFonts w:ascii="Times New Roman Regular" w:hAnsi="Times New Roman Regular" w:cs="Times New Roman Regular"/>
                <w:sz w:val="24"/>
              </w:rPr>
              <w:t xml:space="preserve">pper </w:t>
            </w:r>
            <w:r>
              <w:rPr>
                <w:rFonts w:hint="eastAsia" w:ascii="Times New Roman Regular" w:hAnsi="Times New Roman Regular" w:cs="Times New Roman Regular"/>
                <w:sz w:val="24"/>
              </w:rPr>
              <w:t>30</w:t>
            </w:r>
            <w:r>
              <w:rPr>
                <w:rFonts w:ascii="Times New Roman Regular" w:hAnsi="Times New Roman Regular" w:cs="Times New Roman Regular"/>
                <w:sz w:val="24"/>
              </w:rPr>
              <w:t>0m ocean heat content</w:t>
            </w:r>
          </w:p>
        </w:tc>
      </w:tr>
      <w:tr w14:paraId="75078291">
        <w:trPr>
          <w:jc w:val="center"/>
        </w:trPr>
        <w:tc>
          <w:tcPr>
            <w:tcW w:w="0" w:type="auto"/>
            <w:shd w:val="clear" w:color="auto" w:fill="auto"/>
          </w:tcPr>
          <w:p w14:paraId="1C7EE7B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4</w:t>
            </w:r>
          </w:p>
        </w:tc>
        <w:tc>
          <w:tcPr>
            <w:tcW w:w="1939" w:type="dxa"/>
            <w:shd w:val="clear" w:color="auto" w:fill="auto"/>
          </w:tcPr>
          <w:p w14:paraId="4B8BA38E">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OHC0_500_final</w:t>
            </w:r>
          </w:p>
        </w:tc>
        <w:tc>
          <w:tcPr>
            <w:tcW w:w="1800" w:type="dxa"/>
          </w:tcPr>
          <w:p w14:paraId="470E5D25">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819" w:type="dxa"/>
          </w:tcPr>
          <w:p w14:paraId="0D183720">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Global u</w:t>
            </w:r>
            <w:r>
              <w:rPr>
                <w:rFonts w:ascii="Times New Roman Regular" w:hAnsi="Times New Roman Regular" w:cs="Times New Roman Regular"/>
                <w:sz w:val="24"/>
              </w:rPr>
              <w:t>pper 5</w:t>
            </w:r>
            <w:r>
              <w:rPr>
                <w:rFonts w:hint="eastAsia" w:ascii="Times New Roman Regular" w:hAnsi="Times New Roman Regular" w:cs="Times New Roman Regular"/>
                <w:sz w:val="24"/>
              </w:rPr>
              <w:t>0</w:t>
            </w:r>
            <w:r>
              <w:rPr>
                <w:rFonts w:ascii="Times New Roman Regular" w:hAnsi="Times New Roman Regular" w:cs="Times New Roman Regular"/>
                <w:sz w:val="24"/>
              </w:rPr>
              <w:t>0m ocean heat content</w:t>
            </w:r>
          </w:p>
        </w:tc>
      </w:tr>
      <w:tr w14:paraId="430EEFB5">
        <w:trPr>
          <w:jc w:val="center"/>
        </w:trPr>
        <w:tc>
          <w:tcPr>
            <w:tcW w:w="0" w:type="auto"/>
            <w:shd w:val="clear" w:color="auto" w:fill="auto"/>
          </w:tcPr>
          <w:p w14:paraId="3C28DA81">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5</w:t>
            </w:r>
          </w:p>
        </w:tc>
        <w:tc>
          <w:tcPr>
            <w:tcW w:w="1939" w:type="dxa"/>
            <w:shd w:val="clear" w:color="auto" w:fill="auto"/>
          </w:tcPr>
          <w:p w14:paraId="06535B03">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OHC0_700_final</w:t>
            </w:r>
          </w:p>
        </w:tc>
        <w:tc>
          <w:tcPr>
            <w:tcW w:w="1800" w:type="dxa"/>
          </w:tcPr>
          <w:p w14:paraId="46D734E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819" w:type="dxa"/>
          </w:tcPr>
          <w:p w14:paraId="4914EE83">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Global u</w:t>
            </w:r>
            <w:r>
              <w:rPr>
                <w:rFonts w:ascii="Times New Roman Regular" w:hAnsi="Times New Roman Regular" w:cs="Times New Roman Regular"/>
                <w:sz w:val="24"/>
              </w:rPr>
              <w:t xml:space="preserve">pper </w:t>
            </w:r>
            <w:r>
              <w:rPr>
                <w:rFonts w:hint="eastAsia" w:ascii="Times New Roman Regular" w:hAnsi="Times New Roman Regular" w:cs="Times New Roman Regular"/>
                <w:sz w:val="24"/>
              </w:rPr>
              <w:t>70</w:t>
            </w:r>
            <w:r>
              <w:rPr>
                <w:rFonts w:ascii="Times New Roman Regular" w:hAnsi="Times New Roman Regular" w:cs="Times New Roman Regular"/>
                <w:sz w:val="24"/>
              </w:rPr>
              <w:t>0m ocean heat content</w:t>
            </w:r>
          </w:p>
        </w:tc>
      </w:tr>
      <w:tr w14:paraId="71123CFD">
        <w:trPr>
          <w:jc w:val="center"/>
        </w:trPr>
        <w:tc>
          <w:tcPr>
            <w:tcW w:w="0" w:type="auto"/>
            <w:shd w:val="clear" w:color="auto" w:fill="auto"/>
          </w:tcPr>
          <w:p w14:paraId="2F0EBD9C">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6</w:t>
            </w:r>
          </w:p>
        </w:tc>
        <w:tc>
          <w:tcPr>
            <w:tcW w:w="1939" w:type="dxa"/>
            <w:shd w:val="clear" w:color="auto" w:fill="auto"/>
          </w:tcPr>
          <w:p w14:paraId="638CCEC1">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OHC0_1000_final</w:t>
            </w:r>
          </w:p>
        </w:tc>
        <w:tc>
          <w:tcPr>
            <w:tcW w:w="1800" w:type="dxa"/>
          </w:tcPr>
          <w:p w14:paraId="2BE4AE16">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819" w:type="dxa"/>
          </w:tcPr>
          <w:p w14:paraId="7EF75203">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Global u</w:t>
            </w:r>
            <w:r>
              <w:rPr>
                <w:rFonts w:ascii="Times New Roman Regular" w:hAnsi="Times New Roman Regular" w:cs="Times New Roman Regular"/>
                <w:sz w:val="24"/>
              </w:rPr>
              <w:t xml:space="preserve">pper </w:t>
            </w:r>
            <w:r>
              <w:rPr>
                <w:rFonts w:hint="eastAsia" w:ascii="Times New Roman Regular" w:hAnsi="Times New Roman Regular" w:cs="Times New Roman Regular"/>
                <w:sz w:val="24"/>
              </w:rPr>
              <w:t>100</w:t>
            </w:r>
            <w:r>
              <w:rPr>
                <w:rFonts w:ascii="Times New Roman Regular" w:hAnsi="Times New Roman Regular" w:cs="Times New Roman Regular"/>
                <w:sz w:val="24"/>
              </w:rPr>
              <w:t>0m ocean heat content</w:t>
            </w:r>
          </w:p>
        </w:tc>
      </w:tr>
      <w:tr w14:paraId="0C8FE363">
        <w:trPr>
          <w:jc w:val="center"/>
        </w:trPr>
        <w:tc>
          <w:tcPr>
            <w:tcW w:w="0" w:type="auto"/>
            <w:shd w:val="clear" w:color="auto" w:fill="auto"/>
          </w:tcPr>
          <w:p w14:paraId="63BAB882">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7</w:t>
            </w:r>
          </w:p>
        </w:tc>
        <w:tc>
          <w:tcPr>
            <w:tcW w:w="1939" w:type="dxa"/>
            <w:shd w:val="clear" w:color="auto" w:fill="auto"/>
          </w:tcPr>
          <w:p w14:paraId="0D454426">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OHC0_1500_final</w:t>
            </w:r>
          </w:p>
        </w:tc>
        <w:tc>
          <w:tcPr>
            <w:tcW w:w="1800" w:type="dxa"/>
          </w:tcPr>
          <w:p w14:paraId="35540F0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819" w:type="dxa"/>
          </w:tcPr>
          <w:p w14:paraId="74D0E28B">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Global u</w:t>
            </w:r>
            <w:r>
              <w:rPr>
                <w:rFonts w:ascii="Times New Roman Regular" w:hAnsi="Times New Roman Regular" w:cs="Times New Roman Regular"/>
                <w:sz w:val="24"/>
              </w:rPr>
              <w:t xml:space="preserve">pper </w:t>
            </w:r>
            <w:r>
              <w:rPr>
                <w:rFonts w:hint="eastAsia" w:ascii="Times New Roman Regular" w:hAnsi="Times New Roman Regular" w:cs="Times New Roman Regular"/>
                <w:sz w:val="24"/>
              </w:rPr>
              <w:t>1</w:t>
            </w:r>
            <w:r>
              <w:rPr>
                <w:rFonts w:ascii="Times New Roman Regular" w:hAnsi="Times New Roman Regular" w:cs="Times New Roman Regular"/>
                <w:sz w:val="24"/>
              </w:rPr>
              <w:t>5</w:t>
            </w:r>
            <w:r>
              <w:rPr>
                <w:rFonts w:hint="eastAsia" w:ascii="Times New Roman Regular" w:hAnsi="Times New Roman Regular" w:cs="Times New Roman Regular"/>
                <w:sz w:val="24"/>
              </w:rPr>
              <w:t>0</w:t>
            </w:r>
            <w:r>
              <w:rPr>
                <w:rFonts w:ascii="Times New Roman Regular" w:hAnsi="Times New Roman Regular" w:cs="Times New Roman Regular"/>
                <w:sz w:val="24"/>
              </w:rPr>
              <w:t>0m ocean heat content</w:t>
            </w:r>
          </w:p>
        </w:tc>
      </w:tr>
      <w:tr w14:paraId="2E3FF950">
        <w:trPr>
          <w:jc w:val="center"/>
        </w:trPr>
        <w:tc>
          <w:tcPr>
            <w:tcW w:w="0" w:type="auto"/>
            <w:shd w:val="clear" w:color="auto" w:fill="auto"/>
          </w:tcPr>
          <w:p w14:paraId="07130E3B">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8</w:t>
            </w:r>
          </w:p>
        </w:tc>
        <w:tc>
          <w:tcPr>
            <w:tcW w:w="1939" w:type="dxa"/>
            <w:shd w:val="clear" w:color="auto" w:fill="auto"/>
          </w:tcPr>
          <w:p w14:paraId="0115A8EE">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OHC0_2000_final</w:t>
            </w:r>
          </w:p>
        </w:tc>
        <w:tc>
          <w:tcPr>
            <w:tcW w:w="1800" w:type="dxa"/>
          </w:tcPr>
          <w:p w14:paraId="36FE6E7B">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819" w:type="dxa"/>
          </w:tcPr>
          <w:p w14:paraId="59E12B1E">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Global u</w:t>
            </w:r>
            <w:r>
              <w:rPr>
                <w:rFonts w:ascii="Times New Roman Regular" w:hAnsi="Times New Roman Regular" w:cs="Times New Roman Regular"/>
                <w:sz w:val="24"/>
              </w:rPr>
              <w:t xml:space="preserve">pper </w:t>
            </w:r>
            <w:r>
              <w:rPr>
                <w:rFonts w:hint="eastAsia" w:ascii="Times New Roman Regular" w:hAnsi="Times New Roman Regular" w:cs="Times New Roman Regular"/>
                <w:sz w:val="24"/>
              </w:rPr>
              <w:t>200</w:t>
            </w:r>
            <w:r>
              <w:rPr>
                <w:rFonts w:ascii="Times New Roman Regular" w:hAnsi="Times New Roman Regular" w:cs="Times New Roman Regular"/>
                <w:sz w:val="24"/>
              </w:rPr>
              <w:t>0m ocean heat content</w:t>
            </w:r>
          </w:p>
        </w:tc>
      </w:tr>
      <w:tr w14:paraId="785F77E1">
        <w:trPr>
          <w:jc w:val="center"/>
        </w:trPr>
        <w:tc>
          <w:tcPr>
            <w:tcW w:w="0" w:type="auto"/>
            <w:shd w:val="clear" w:color="auto" w:fill="auto"/>
          </w:tcPr>
          <w:p w14:paraId="674C3C9D">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9</w:t>
            </w:r>
          </w:p>
        </w:tc>
        <w:tc>
          <w:tcPr>
            <w:tcW w:w="1939" w:type="dxa"/>
            <w:shd w:val="clear" w:color="auto" w:fill="auto"/>
          </w:tcPr>
          <w:p w14:paraId="72BE48F8">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OHC0_3000_final</w:t>
            </w:r>
          </w:p>
        </w:tc>
        <w:tc>
          <w:tcPr>
            <w:tcW w:w="1800" w:type="dxa"/>
          </w:tcPr>
          <w:p w14:paraId="09024E8E">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819" w:type="dxa"/>
          </w:tcPr>
          <w:p w14:paraId="388C45D3">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Global u</w:t>
            </w:r>
            <w:r>
              <w:rPr>
                <w:rFonts w:ascii="Times New Roman Regular" w:hAnsi="Times New Roman Regular" w:cs="Times New Roman Regular"/>
                <w:sz w:val="24"/>
              </w:rPr>
              <w:t xml:space="preserve">pper </w:t>
            </w:r>
            <w:r>
              <w:rPr>
                <w:rFonts w:hint="eastAsia" w:ascii="Times New Roman Regular" w:hAnsi="Times New Roman Regular" w:cs="Times New Roman Regular"/>
                <w:sz w:val="24"/>
              </w:rPr>
              <w:t>300</w:t>
            </w:r>
            <w:r>
              <w:rPr>
                <w:rFonts w:ascii="Times New Roman Regular" w:hAnsi="Times New Roman Regular" w:cs="Times New Roman Regular"/>
                <w:sz w:val="24"/>
              </w:rPr>
              <w:t>0m ocean heat content</w:t>
            </w:r>
          </w:p>
        </w:tc>
      </w:tr>
      <w:tr w14:paraId="7790E7FD">
        <w:trPr>
          <w:jc w:val="center"/>
        </w:trPr>
        <w:tc>
          <w:tcPr>
            <w:tcW w:w="0" w:type="auto"/>
            <w:shd w:val="clear" w:color="auto" w:fill="auto"/>
          </w:tcPr>
          <w:p w14:paraId="0186F6D7">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10</w:t>
            </w:r>
          </w:p>
        </w:tc>
        <w:tc>
          <w:tcPr>
            <w:tcW w:w="1939" w:type="dxa"/>
            <w:shd w:val="clear" w:color="auto" w:fill="auto"/>
          </w:tcPr>
          <w:p w14:paraId="31B85293">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OHC0_4000_final</w:t>
            </w:r>
          </w:p>
        </w:tc>
        <w:tc>
          <w:tcPr>
            <w:tcW w:w="1800" w:type="dxa"/>
          </w:tcPr>
          <w:p w14:paraId="07449B49">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819" w:type="dxa"/>
          </w:tcPr>
          <w:p w14:paraId="6E06023E">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Global u</w:t>
            </w:r>
            <w:r>
              <w:rPr>
                <w:rFonts w:ascii="Times New Roman Regular" w:hAnsi="Times New Roman Regular" w:cs="Times New Roman Regular"/>
                <w:sz w:val="24"/>
              </w:rPr>
              <w:t xml:space="preserve">pper </w:t>
            </w:r>
            <w:r>
              <w:rPr>
                <w:rFonts w:hint="eastAsia" w:ascii="Times New Roman Regular" w:hAnsi="Times New Roman Regular" w:cs="Times New Roman Regular"/>
                <w:sz w:val="24"/>
              </w:rPr>
              <w:t>400</w:t>
            </w:r>
            <w:r>
              <w:rPr>
                <w:rFonts w:ascii="Times New Roman Regular" w:hAnsi="Times New Roman Regular" w:cs="Times New Roman Regular"/>
                <w:sz w:val="24"/>
              </w:rPr>
              <w:t>0m ocean heat content</w:t>
            </w:r>
          </w:p>
        </w:tc>
      </w:tr>
      <w:tr w14:paraId="0FED6E78">
        <w:trPr>
          <w:jc w:val="center"/>
        </w:trPr>
        <w:tc>
          <w:tcPr>
            <w:tcW w:w="0" w:type="auto"/>
            <w:shd w:val="clear" w:color="auto" w:fill="auto"/>
          </w:tcPr>
          <w:p w14:paraId="0D20C6E1">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w:t>
            </w:r>
          </w:p>
        </w:tc>
        <w:tc>
          <w:tcPr>
            <w:tcW w:w="1939" w:type="dxa"/>
            <w:shd w:val="clear" w:color="auto" w:fill="auto"/>
          </w:tcPr>
          <w:p w14:paraId="3D7A63DB">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OHC0_5000_final</w:t>
            </w:r>
          </w:p>
        </w:tc>
        <w:tc>
          <w:tcPr>
            <w:tcW w:w="1800" w:type="dxa"/>
          </w:tcPr>
          <w:p w14:paraId="1B55924A">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819" w:type="dxa"/>
          </w:tcPr>
          <w:p w14:paraId="3CD9F088">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Global u</w:t>
            </w:r>
            <w:r>
              <w:rPr>
                <w:rFonts w:ascii="Times New Roman Regular" w:hAnsi="Times New Roman Regular" w:cs="Times New Roman Regular"/>
                <w:sz w:val="24"/>
              </w:rPr>
              <w:t>pper 50</w:t>
            </w:r>
            <w:r>
              <w:rPr>
                <w:rFonts w:hint="eastAsia" w:ascii="Times New Roman Regular" w:hAnsi="Times New Roman Regular" w:cs="Times New Roman Regular"/>
                <w:sz w:val="24"/>
              </w:rPr>
              <w:t>00</w:t>
            </w:r>
            <w:r>
              <w:rPr>
                <w:rFonts w:ascii="Times New Roman Regular" w:hAnsi="Times New Roman Regular" w:cs="Times New Roman Regular"/>
                <w:sz w:val="24"/>
              </w:rPr>
              <w:t>m ocean heat content</w:t>
            </w:r>
          </w:p>
        </w:tc>
      </w:tr>
      <w:tr w14:paraId="03E9BF4F">
        <w:trPr>
          <w:jc w:val="center"/>
        </w:trPr>
        <w:tc>
          <w:tcPr>
            <w:tcW w:w="0" w:type="auto"/>
            <w:shd w:val="clear" w:color="auto" w:fill="auto"/>
          </w:tcPr>
          <w:p w14:paraId="22B3BC00">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12</w:t>
            </w:r>
          </w:p>
        </w:tc>
        <w:tc>
          <w:tcPr>
            <w:tcW w:w="1939" w:type="dxa"/>
            <w:shd w:val="clear" w:color="auto" w:fill="auto"/>
          </w:tcPr>
          <w:p w14:paraId="64400DA3">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OHC0_6000_final</w:t>
            </w:r>
          </w:p>
        </w:tc>
        <w:tc>
          <w:tcPr>
            <w:tcW w:w="1800" w:type="dxa"/>
          </w:tcPr>
          <w:p w14:paraId="0858048E">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360×180 double</w:t>
            </w:r>
          </w:p>
        </w:tc>
        <w:tc>
          <w:tcPr>
            <w:tcW w:w="3819" w:type="dxa"/>
          </w:tcPr>
          <w:p w14:paraId="33B36300">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Global u</w:t>
            </w:r>
            <w:r>
              <w:rPr>
                <w:rFonts w:ascii="Times New Roman Regular" w:hAnsi="Times New Roman Regular" w:cs="Times New Roman Regular"/>
                <w:sz w:val="24"/>
              </w:rPr>
              <w:t xml:space="preserve">pper </w:t>
            </w:r>
            <w:r>
              <w:rPr>
                <w:rFonts w:hint="eastAsia" w:ascii="Times New Roman Regular" w:hAnsi="Times New Roman Regular" w:cs="Times New Roman Regular"/>
                <w:sz w:val="24"/>
              </w:rPr>
              <w:t>600</w:t>
            </w:r>
            <w:r>
              <w:rPr>
                <w:rFonts w:ascii="Times New Roman Regular" w:hAnsi="Times New Roman Regular" w:cs="Times New Roman Regular"/>
                <w:sz w:val="24"/>
              </w:rPr>
              <w:t>0m ocean heat content</w:t>
            </w:r>
          </w:p>
        </w:tc>
      </w:tr>
    </w:tbl>
    <w:p w14:paraId="3EA47645">
      <w:pPr>
        <w:spacing w:line="360" w:lineRule="auto"/>
        <w:rPr>
          <w:rFonts w:ascii="Times New Roman Regular" w:hAnsi="Times New Roman Regular" w:cs="Times New Roman Regular"/>
          <w:sz w:val="24"/>
        </w:rPr>
      </w:pPr>
    </w:p>
    <w:p w14:paraId="4659F85A">
      <w:pPr>
        <w:pStyle w:val="4"/>
        <w:spacing w:before="0" w:after="0"/>
        <w:rPr>
          <w:sz w:val="24"/>
        </w:rPr>
      </w:pPr>
      <w:r>
        <w:rPr>
          <w:rFonts w:hint="eastAsia" w:ascii="Times New Roman Regular" w:hAnsi="Times New Roman Regular" w:cs="Times New Roman Regular"/>
          <w:bCs/>
          <w:sz w:val="24"/>
        </w:rPr>
        <w:t>2.3 热含量时间序列（Ocean heat content timeseries）</w:t>
      </w:r>
    </w:p>
    <w:p w14:paraId="049972E2">
      <w:pPr>
        <w:spacing w:line="360" w:lineRule="auto"/>
        <w:ind w:firstLine="240" w:firstLineChars="100"/>
        <w:rPr>
          <w:rFonts w:ascii="Times New Roman Regular" w:hAnsi="Times New Roman Regular" w:cs="Times New Roman Regular"/>
          <w:sz w:val="24"/>
        </w:rPr>
      </w:pPr>
      <w:r>
        <w:rPr>
          <w:rFonts w:ascii="Times New Roman Regular" w:hAnsi="Times New Roman Regular" w:cs="Times New Roman Regular"/>
          <w:sz w:val="24"/>
        </w:rPr>
        <w:t>文件夹路径为</w:t>
      </w:r>
      <w:r>
        <w:rPr>
          <w:rFonts w:hint="eastAsia" w:ascii="Times New Roman Regular" w:hAnsi="Times New Roman Regular" w:cs="Times New Roman Regular"/>
          <w:sz w:val="24"/>
        </w:rPr>
        <w:t>（folder）</w:t>
      </w:r>
      <w:r>
        <w:rPr>
          <w:rFonts w:ascii="Times New Roman Regular" w:hAnsi="Times New Roman Regular" w:cs="Times New Roman Regular"/>
          <w:sz w:val="24"/>
        </w:rPr>
        <w:t>：Ensemble_data_ohc_ts_all</w:t>
      </w:r>
    </w:p>
    <w:p w14:paraId="616979AC">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 xml:space="preserve">  变量</w:t>
      </w:r>
      <w:r>
        <w:rPr>
          <w:rFonts w:hint="eastAsia" w:ascii="Times New Roman Regular" w:hAnsi="Times New Roman Regular" w:cs="Times New Roman Regular"/>
          <w:sz w:val="24"/>
        </w:rPr>
        <w:t>名表（variable table）</w:t>
      </w:r>
      <w:r>
        <w:rPr>
          <w:rFonts w:ascii="Times New Roman Regular" w:hAnsi="Times New Roman Regular" w:cs="Times New Roman Regular"/>
          <w:sz w:val="24"/>
        </w:rPr>
        <w: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1320"/>
        <w:gridCol w:w="1653"/>
        <w:gridCol w:w="4837"/>
      </w:tblGrid>
      <w:tr w14:paraId="1DDD0E6A">
        <w:tc>
          <w:tcPr>
            <w:tcW w:w="710" w:type="dxa"/>
          </w:tcPr>
          <w:p w14:paraId="0DD907F2">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序号</w:t>
            </w:r>
          </w:p>
        </w:tc>
        <w:tc>
          <w:tcPr>
            <w:tcW w:w="1320" w:type="dxa"/>
          </w:tcPr>
          <w:p w14:paraId="5A127919">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变量名称</w:t>
            </w:r>
          </w:p>
        </w:tc>
        <w:tc>
          <w:tcPr>
            <w:tcW w:w="1653" w:type="dxa"/>
          </w:tcPr>
          <w:p w14:paraId="11BC980A">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类型</w:t>
            </w:r>
          </w:p>
        </w:tc>
        <w:tc>
          <w:tcPr>
            <w:tcW w:w="4837" w:type="dxa"/>
          </w:tcPr>
          <w:p w14:paraId="0B2176F3">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变量说明</w:t>
            </w:r>
          </w:p>
        </w:tc>
      </w:tr>
      <w:tr w14:paraId="5577D662">
        <w:tc>
          <w:tcPr>
            <w:tcW w:w="710" w:type="dxa"/>
          </w:tcPr>
          <w:p w14:paraId="447EAC95">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w:t>
            </w:r>
          </w:p>
        </w:tc>
        <w:tc>
          <w:tcPr>
            <w:tcW w:w="1320" w:type="dxa"/>
          </w:tcPr>
          <w:p w14:paraId="4AAFB32F">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ohc0_50</w:t>
            </w:r>
          </w:p>
        </w:tc>
        <w:tc>
          <w:tcPr>
            <w:tcW w:w="1653" w:type="dxa"/>
          </w:tcPr>
          <w:p w14:paraId="5179F0DC">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837" w:type="dxa"/>
          </w:tcPr>
          <w:p w14:paraId="4E19F925">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50m热含量时间序列</w:t>
            </w:r>
          </w:p>
        </w:tc>
      </w:tr>
      <w:tr w14:paraId="600EBC6A">
        <w:tc>
          <w:tcPr>
            <w:tcW w:w="710" w:type="dxa"/>
          </w:tcPr>
          <w:p w14:paraId="7168548D">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2</w:t>
            </w:r>
          </w:p>
        </w:tc>
        <w:tc>
          <w:tcPr>
            <w:tcW w:w="1320" w:type="dxa"/>
          </w:tcPr>
          <w:p w14:paraId="4A809517">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ohc0_100</w:t>
            </w:r>
          </w:p>
        </w:tc>
        <w:tc>
          <w:tcPr>
            <w:tcW w:w="1653" w:type="dxa"/>
          </w:tcPr>
          <w:p w14:paraId="41E4748A">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837" w:type="dxa"/>
          </w:tcPr>
          <w:p w14:paraId="74579C29">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100m上层热含量时间序列</w:t>
            </w:r>
          </w:p>
        </w:tc>
      </w:tr>
      <w:tr w14:paraId="1D009A58">
        <w:tc>
          <w:tcPr>
            <w:tcW w:w="710" w:type="dxa"/>
          </w:tcPr>
          <w:p w14:paraId="305F2186">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w:t>
            </w:r>
          </w:p>
        </w:tc>
        <w:tc>
          <w:tcPr>
            <w:tcW w:w="1320" w:type="dxa"/>
          </w:tcPr>
          <w:p w14:paraId="4C95E48D">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ohc0_300</w:t>
            </w:r>
          </w:p>
        </w:tc>
        <w:tc>
          <w:tcPr>
            <w:tcW w:w="1653" w:type="dxa"/>
          </w:tcPr>
          <w:p w14:paraId="2D6DCB0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837" w:type="dxa"/>
          </w:tcPr>
          <w:p w14:paraId="68123177">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300m上层热含量时间序列</w:t>
            </w:r>
          </w:p>
        </w:tc>
      </w:tr>
      <w:tr w14:paraId="39899FDF">
        <w:tc>
          <w:tcPr>
            <w:tcW w:w="710" w:type="dxa"/>
          </w:tcPr>
          <w:p w14:paraId="3B2DDBF7">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4</w:t>
            </w:r>
          </w:p>
        </w:tc>
        <w:tc>
          <w:tcPr>
            <w:tcW w:w="1320" w:type="dxa"/>
          </w:tcPr>
          <w:p w14:paraId="695C5CD5">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ohc0_500</w:t>
            </w:r>
          </w:p>
        </w:tc>
        <w:tc>
          <w:tcPr>
            <w:tcW w:w="1653" w:type="dxa"/>
          </w:tcPr>
          <w:p w14:paraId="176249DF">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837" w:type="dxa"/>
          </w:tcPr>
          <w:p w14:paraId="30B8B878">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500m上层热含量时间序列</w:t>
            </w:r>
          </w:p>
        </w:tc>
      </w:tr>
      <w:tr w14:paraId="1D53BAB4">
        <w:tc>
          <w:tcPr>
            <w:tcW w:w="710" w:type="dxa"/>
          </w:tcPr>
          <w:p w14:paraId="6FC70467">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5</w:t>
            </w:r>
          </w:p>
        </w:tc>
        <w:tc>
          <w:tcPr>
            <w:tcW w:w="1320" w:type="dxa"/>
          </w:tcPr>
          <w:p w14:paraId="4100CDD1">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ohc0_700</w:t>
            </w:r>
          </w:p>
        </w:tc>
        <w:tc>
          <w:tcPr>
            <w:tcW w:w="1653" w:type="dxa"/>
          </w:tcPr>
          <w:p w14:paraId="56E4A211">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837" w:type="dxa"/>
          </w:tcPr>
          <w:p w14:paraId="1C2A4989">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700m上层热含量时间序列</w:t>
            </w:r>
          </w:p>
        </w:tc>
      </w:tr>
      <w:tr w14:paraId="415B9BFE">
        <w:tc>
          <w:tcPr>
            <w:tcW w:w="710" w:type="dxa"/>
          </w:tcPr>
          <w:p w14:paraId="302E4C21">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6</w:t>
            </w:r>
          </w:p>
        </w:tc>
        <w:tc>
          <w:tcPr>
            <w:tcW w:w="1320" w:type="dxa"/>
          </w:tcPr>
          <w:p w14:paraId="7B2B656D">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ohc0_1000</w:t>
            </w:r>
          </w:p>
        </w:tc>
        <w:tc>
          <w:tcPr>
            <w:tcW w:w="1653" w:type="dxa"/>
          </w:tcPr>
          <w:p w14:paraId="4ADF05D3">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837" w:type="dxa"/>
          </w:tcPr>
          <w:p w14:paraId="68EF59F9">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1000m上层热含量时间序列</w:t>
            </w:r>
          </w:p>
        </w:tc>
      </w:tr>
      <w:tr w14:paraId="3332B789">
        <w:tc>
          <w:tcPr>
            <w:tcW w:w="710" w:type="dxa"/>
          </w:tcPr>
          <w:p w14:paraId="727C46BF">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7</w:t>
            </w:r>
          </w:p>
        </w:tc>
        <w:tc>
          <w:tcPr>
            <w:tcW w:w="1320" w:type="dxa"/>
          </w:tcPr>
          <w:p w14:paraId="24B307AC">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ohc0_1500</w:t>
            </w:r>
          </w:p>
        </w:tc>
        <w:tc>
          <w:tcPr>
            <w:tcW w:w="1653" w:type="dxa"/>
          </w:tcPr>
          <w:p w14:paraId="033A15C0">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837" w:type="dxa"/>
          </w:tcPr>
          <w:p w14:paraId="66610611">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1500m上层热含量时间序列</w:t>
            </w:r>
          </w:p>
        </w:tc>
      </w:tr>
      <w:tr w14:paraId="06D414A5">
        <w:tc>
          <w:tcPr>
            <w:tcW w:w="710" w:type="dxa"/>
          </w:tcPr>
          <w:p w14:paraId="3BB7C8D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8</w:t>
            </w:r>
          </w:p>
        </w:tc>
        <w:tc>
          <w:tcPr>
            <w:tcW w:w="1320" w:type="dxa"/>
          </w:tcPr>
          <w:p w14:paraId="14A0407D">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ohc0_2000</w:t>
            </w:r>
          </w:p>
        </w:tc>
        <w:tc>
          <w:tcPr>
            <w:tcW w:w="1653" w:type="dxa"/>
          </w:tcPr>
          <w:p w14:paraId="62D6BC39">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837" w:type="dxa"/>
          </w:tcPr>
          <w:p w14:paraId="62FFB51D">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2000m上层热含量时间序列</w:t>
            </w:r>
          </w:p>
        </w:tc>
      </w:tr>
      <w:tr w14:paraId="32EACF57">
        <w:tc>
          <w:tcPr>
            <w:tcW w:w="710" w:type="dxa"/>
          </w:tcPr>
          <w:p w14:paraId="1128C221">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9</w:t>
            </w:r>
          </w:p>
        </w:tc>
        <w:tc>
          <w:tcPr>
            <w:tcW w:w="1320" w:type="dxa"/>
          </w:tcPr>
          <w:p w14:paraId="63AC2AB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ohc0_3000</w:t>
            </w:r>
          </w:p>
        </w:tc>
        <w:tc>
          <w:tcPr>
            <w:tcW w:w="1653" w:type="dxa"/>
          </w:tcPr>
          <w:p w14:paraId="5EEF1680">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837" w:type="dxa"/>
          </w:tcPr>
          <w:p w14:paraId="153F27E9">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3000m上层热含量时间序列</w:t>
            </w:r>
          </w:p>
        </w:tc>
      </w:tr>
      <w:tr w14:paraId="77A49BEF">
        <w:tc>
          <w:tcPr>
            <w:tcW w:w="710" w:type="dxa"/>
          </w:tcPr>
          <w:p w14:paraId="75211132">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10</w:t>
            </w:r>
          </w:p>
        </w:tc>
        <w:tc>
          <w:tcPr>
            <w:tcW w:w="1320" w:type="dxa"/>
          </w:tcPr>
          <w:p w14:paraId="109DAE2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ohc0_4000</w:t>
            </w:r>
          </w:p>
        </w:tc>
        <w:tc>
          <w:tcPr>
            <w:tcW w:w="1653" w:type="dxa"/>
          </w:tcPr>
          <w:p w14:paraId="0C2E620A">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837" w:type="dxa"/>
          </w:tcPr>
          <w:p w14:paraId="6A73CDA1">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4000m上层热含量时间序列</w:t>
            </w:r>
          </w:p>
        </w:tc>
      </w:tr>
      <w:tr w14:paraId="669DDD46">
        <w:tc>
          <w:tcPr>
            <w:tcW w:w="710" w:type="dxa"/>
          </w:tcPr>
          <w:p w14:paraId="00FF2919">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w:t>
            </w:r>
          </w:p>
        </w:tc>
        <w:tc>
          <w:tcPr>
            <w:tcW w:w="1320" w:type="dxa"/>
          </w:tcPr>
          <w:p w14:paraId="57D84E91">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ohc0_5000</w:t>
            </w:r>
          </w:p>
        </w:tc>
        <w:tc>
          <w:tcPr>
            <w:tcW w:w="1653" w:type="dxa"/>
          </w:tcPr>
          <w:p w14:paraId="204AEA25">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837" w:type="dxa"/>
          </w:tcPr>
          <w:p w14:paraId="750547BC">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5000m上层热含量时间序列</w:t>
            </w:r>
          </w:p>
        </w:tc>
      </w:tr>
      <w:tr w14:paraId="2330547E">
        <w:tc>
          <w:tcPr>
            <w:tcW w:w="710" w:type="dxa"/>
          </w:tcPr>
          <w:p w14:paraId="513EA883">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12</w:t>
            </w:r>
          </w:p>
        </w:tc>
        <w:tc>
          <w:tcPr>
            <w:tcW w:w="1320" w:type="dxa"/>
          </w:tcPr>
          <w:p w14:paraId="6BD37A83">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ohc0_6000</w:t>
            </w:r>
          </w:p>
        </w:tc>
        <w:tc>
          <w:tcPr>
            <w:tcW w:w="1653" w:type="dxa"/>
          </w:tcPr>
          <w:p w14:paraId="2B0FD406">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837" w:type="dxa"/>
          </w:tcPr>
          <w:p w14:paraId="1945BB54">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全球海洋上层</w:t>
            </w:r>
            <w:r>
              <w:rPr>
                <w:rFonts w:ascii="Times New Roman Regular" w:hAnsi="Times New Roman Regular" w:cs="Times New Roman Regular"/>
                <w:sz w:val="24"/>
              </w:rPr>
              <w:t>6000m上层热含量时间序列</w:t>
            </w:r>
          </w:p>
        </w:tc>
      </w:tr>
    </w:tbl>
    <w:p w14:paraId="10262A7C">
      <w:pPr>
        <w:spacing w:line="360" w:lineRule="auto"/>
        <w:rPr>
          <w:rFonts w:ascii="Times New Roman Regular" w:hAnsi="Times New Roman Regular" w:cs="Times New Roman Regular"/>
          <w:sz w:val="24"/>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0"/>
        <w:gridCol w:w="1513"/>
        <w:gridCol w:w="1515"/>
        <w:gridCol w:w="4744"/>
      </w:tblGrid>
      <w:tr w14:paraId="408C71BC">
        <w:tc>
          <w:tcPr>
            <w:tcW w:w="710" w:type="dxa"/>
            <w:shd w:val="clear" w:color="auto" w:fill="auto"/>
          </w:tcPr>
          <w:p w14:paraId="2338A02E">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index</w:t>
            </w:r>
          </w:p>
        </w:tc>
        <w:tc>
          <w:tcPr>
            <w:tcW w:w="1515" w:type="dxa"/>
            <w:shd w:val="clear" w:color="auto" w:fill="auto"/>
          </w:tcPr>
          <w:p w14:paraId="4E65C2FA">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variable name</w:t>
            </w:r>
          </w:p>
        </w:tc>
        <w:tc>
          <w:tcPr>
            <w:tcW w:w="1520" w:type="dxa"/>
            <w:shd w:val="clear" w:color="auto" w:fill="auto"/>
          </w:tcPr>
          <w:p w14:paraId="30F5C87D">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type</w:t>
            </w:r>
          </w:p>
        </w:tc>
        <w:tc>
          <w:tcPr>
            <w:tcW w:w="4775" w:type="dxa"/>
            <w:shd w:val="clear" w:color="auto" w:fill="auto"/>
          </w:tcPr>
          <w:p w14:paraId="60192AD1">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comment</w:t>
            </w:r>
          </w:p>
        </w:tc>
      </w:tr>
      <w:tr w14:paraId="1C5D5D80">
        <w:tc>
          <w:tcPr>
            <w:tcW w:w="710" w:type="dxa"/>
          </w:tcPr>
          <w:p w14:paraId="66F42305">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w:t>
            </w:r>
          </w:p>
        </w:tc>
        <w:tc>
          <w:tcPr>
            <w:tcW w:w="1515" w:type="dxa"/>
          </w:tcPr>
          <w:p w14:paraId="3EF05BF8">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ohc0_50</w:t>
            </w:r>
          </w:p>
        </w:tc>
        <w:tc>
          <w:tcPr>
            <w:tcW w:w="1520" w:type="dxa"/>
          </w:tcPr>
          <w:p w14:paraId="26051B2D">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775" w:type="dxa"/>
          </w:tcPr>
          <w:p w14:paraId="2CF05E46">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 xml:space="preserve">Global </w:t>
            </w:r>
            <w:r>
              <w:rPr>
                <w:rFonts w:hint="eastAsia" w:ascii="Times New Roman Regular" w:hAnsi="Times New Roman Regular" w:cs="Times New Roman Regular"/>
                <w:sz w:val="24"/>
              </w:rPr>
              <w:t>upper 50 m ocean heat content time series</w:t>
            </w:r>
          </w:p>
        </w:tc>
      </w:tr>
      <w:tr w14:paraId="086EC9A2">
        <w:tc>
          <w:tcPr>
            <w:tcW w:w="710" w:type="dxa"/>
          </w:tcPr>
          <w:p w14:paraId="44D8C893">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2</w:t>
            </w:r>
          </w:p>
        </w:tc>
        <w:tc>
          <w:tcPr>
            <w:tcW w:w="1515" w:type="dxa"/>
          </w:tcPr>
          <w:p w14:paraId="4B937768">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ohc0_100</w:t>
            </w:r>
          </w:p>
        </w:tc>
        <w:tc>
          <w:tcPr>
            <w:tcW w:w="1520" w:type="dxa"/>
          </w:tcPr>
          <w:p w14:paraId="7358BFF9">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775" w:type="dxa"/>
          </w:tcPr>
          <w:p w14:paraId="2EC9A29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 xml:space="preserve">Global </w:t>
            </w:r>
            <w:r>
              <w:rPr>
                <w:rFonts w:hint="eastAsia" w:ascii="Times New Roman Regular" w:hAnsi="Times New Roman Regular" w:cs="Times New Roman Regular"/>
                <w:sz w:val="24"/>
              </w:rPr>
              <w:t>upper 100 m ocean heat content time series</w:t>
            </w:r>
          </w:p>
        </w:tc>
      </w:tr>
      <w:tr w14:paraId="4C370370">
        <w:tc>
          <w:tcPr>
            <w:tcW w:w="710" w:type="dxa"/>
          </w:tcPr>
          <w:p w14:paraId="1D39F25E">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3</w:t>
            </w:r>
          </w:p>
        </w:tc>
        <w:tc>
          <w:tcPr>
            <w:tcW w:w="1515" w:type="dxa"/>
          </w:tcPr>
          <w:p w14:paraId="5313C18F">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ohc0_300</w:t>
            </w:r>
          </w:p>
        </w:tc>
        <w:tc>
          <w:tcPr>
            <w:tcW w:w="1520" w:type="dxa"/>
          </w:tcPr>
          <w:p w14:paraId="37F57ABE">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775" w:type="dxa"/>
          </w:tcPr>
          <w:p w14:paraId="5F72A529">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 xml:space="preserve">Global </w:t>
            </w:r>
            <w:r>
              <w:rPr>
                <w:rFonts w:hint="eastAsia" w:ascii="Times New Roman Regular" w:hAnsi="Times New Roman Regular" w:cs="Times New Roman Regular"/>
                <w:sz w:val="24"/>
              </w:rPr>
              <w:t>upper 300 m ocean heat content time series</w:t>
            </w:r>
          </w:p>
        </w:tc>
      </w:tr>
      <w:tr w14:paraId="531CB272">
        <w:tc>
          <w:tcPr>
            <w:tcW w:w="710" w:type="dxa"/>
          </w:tcPr>
          <w:p w14:paraId="758BCEF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4</w:t>
            </w:r>
          </w:p>
        </w:tc>
        <w:tc>
          <w:tcPr>
            <w:tcW w:w="1515" w:type="dxa"/>
          </w:tcPr>
          <w:p w14:paraId="0F8F5CBB">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ohc0_500</w:t>
            </w:r>
          </w:p>
        </w:tc>
        <w:tc>
          <w:tcPr>
            <w:tcW w:w="1520" w:type="dxa"/>
          </w:tcPr>
          <w:p w14:paraId="09E52F9A">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775" w:type="dxa"/>
          </w:tcPr>
          <w:p w14:paraId="385FED3B">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 xml:space="preserve">Global </w:t>
            </w:r>
            <w:r>
              <w:rPr>
                <w:rFonts w:hint="eastAsia" w:ascii="Times New Roman Regular" w:hAnsi="Times New Roman Regular" w:cs="Times New Roman Regular"/>
                <w:sz w:val="24"/>
              </w:rPr>
              <w:t>upper 500 m ocean heat content time series</w:t>
            </w:r>
          </w:p>
        </w:tc>
      </w:tr>
      <w:tr w14:paraId="461B8390">
        <w:tc>
          <w:tcPr>
            <w:tcW w:w="710" w:type="dxa"/>
          </w:tcPr>
          <w:p w14:paraId="0EF69A3B">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5</w:t>
            </w:r>
          </w:p>
        </w:tc>
        <w:tc>
          <w:tcPr>
            <w:tcW w:w="1515" w:type="dxa"/>
          </w:tcPr>
          <w:p w14:paraId="2587829B">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ohc0_700</w:t>
            </w:r>
          </w:p>
        </w:tc>
        <w:tc>
          <w:tcPr>
            <w:tcW w:w="1520" w:type="dxa"/>
          </w:tcPr>
          <w:p w14:paraId="5AAA3E7C">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775" w:type="dxa"/>
          </w:tcPr>
          <w:p w14:paraId="502C1481">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 xml:space="preserve">Global </w:t>
            </w:r>
            <w:r>
              <w:rPr>
                <w:rFonts w:hint="eastAsia" w:ascii="Times New Roman Regular" w:hAnsi="Times New Roman Regular" w:cs="Times New Roman Regular"/>
                <w:sz w:val="24"/>
              </w:rPr>
              <w:t>upper 700 m ocean heat content time series</w:t>
            </w:r>
          </w:p>
        </w:tc>
      </w:tr>
      <w:tr w14:paraId="393A2398">
        <w:tc>
          <w:tcPr>
            <w:tcW w:w="710" w:type="dxa"/>
          </w:tcPr>
          <w:p w14:paraId="2892F7F7">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6</w:t>
            </w:r>
          </w:p>
        </w:tc>
        <w:tc>
          <w:tcPr>
            <w:tcW w:w="1515" w:type="dxa"/>
          </w:tcPr>
          <w:p w14:paraId="293F919A">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ohc0_1000</w:t>
            </w:r>
          </w:p>
        </w:tc>
        <w:tc>
          <w:tcPr>
            <w:tcW w:w="1520" w:type="dxa"/>
          </w:tcPr>
          <w:p w14:paraId="06C196BE">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775" w:type="dxa"/>
          </w:tcPr>
          <w:p w14:paraId="4BC0A9AD">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 xml:space="preserve">Global </w:t>
            </w:r>
            <w:r>
              <w:rPr>
                <w:rFonts w:hint="eastAsia" w:ascii="Times New Roman Regular" w:hAnsi="Times New Roman Regular" w:cs="Times New Roman Regular"/>
                <w:sz w:val="24"/>
              </w:rPr>
              <w:t>upper 1000 m ocean heat content time series</w:t>
            </w:r>
          </w:p>
        </w:tc>
      </w:tr>
      <w:tr w14:paraId="66C76D0B">
        <w:tc>
          <w:tcPr>
            <w:tcW w:w="710" w:type="dxa"/>
          </w:tcPr>
          <w:p w14:paraId="06745E95">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7</w:t>
            </w:r>
          </w:p>
        </w:tc>
        <w:tc>
          <w:tcPr>
            <w:tcW w:w="1515" w:type="dxa"/>
          </w:tcPr>
          <w:p w14:paraId="395D1DDF">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ohc0_1500</w:t>
            </w:r>
          </w:p>
        </w:tc>
        <w:tc>
          <w:tcPr>
            <w:tcW w:w="1520" w:type="dxa"/>
          </w:tcPr>
          <w:p w14:paraId="444FC02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775" w:type="dxa"/>
          </w:tcPr>
          <w:p w14:paraId="428AED89">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 xml:space="preserve">Global </w:t>
            </w:r>
            <w:r>
              <w:rPr>
                <w:rFonts w:hint="eastAsia" w:ascii="Times New Roman Regular" w:hAnsi="Times New Roman Regular" w:cs="Times New Roman Regular"/>
                <w:sz w:val="24"/>
              </w:rPr>
              <w:t>upper 1500 m ocean heat content time series</w:t>
            </w:r>
          </w:p>
        </w:tc>
      </w:tr>
      <w:tr w14:paraId="43CDB95C">
        <w:tc>
          <w:tcPr>
            <w:tcW w:w="710" w:type="dxa"/>
          </w:tcPr>
          <w:p w14:paraId="0BAF3BC1">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8</w:t>
            </w:r>
          </w:p>
        </w:tc>
        <w:tc>
          <w:tcPr>
            <w:tcW w:w="1515" w:type="dxa"/>
          </w:tcPr>
          <w:p w14:paraId="5C941F26">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ohc0_2000</w:t>
            </w:r>
          </w:p>
        </w:tc>
        <w:tc>
          <w:tcPr>
            <w:tcW w:w="1520" w:type="dxa"/>
          </w:tcPr>
          <w:p w14:paraId="397BCBF2">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775" w:type="dxa"/>
          </w:tcPr>
          <w:p w14:paraId="5D4BE64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 xml:space="preserve">Global </w:t>
            </w:r>
            <w:r>
              <w:rPr>
                <w:rFonts w:hint="eastAsia" w:ascii="Times New Roman Regular" w:hAnsi="Times New Roman Regular" w:cs="Times New Roman Regular"/>
                <w:sz w:val="24"/>
              </w:rPr>
              <w:t>upper 2000 m ocean heat content time series</w:t>
            </w:r>
          </w:p>
        </w:tc>
      </w:tr>
      <w:tr w14:paraId="7728BAB5">
        <w:tc>
          <w:tcPr>
            <w:tcW w:w="710" w:type="dxa"/>
          </w:tcPr>
          <w:p w14:paraId="464CE586">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9</w:t>
            </w:r>
          </w:p>
        </w:tc>
        <w:tc>
          <w:tcPr>
            <w:tcW w:w="1515" w:type="dxa"/>
          </w:tcPr>
          <w:p w14:paraId="0F0E1D20">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ohc0_3000</w:t>
            </w:r>
          </w:p>
        </w:tc>
        <w:tc>
          <w:tcPr>
            <w:tcW w:w="1520" w:type="dxa"/>
          </w:tcPr>
          <w:p w14:paraId="2B800721">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775" w:type="dxa"/>
          </w:tcPr>
          <w:p w14:paraId="699E40CC">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 xml:space="preserve">Global </w:t>
            </w:r>
            <w:r>
              <w:rPr>
                <w:rFonts w:hint="eastAsia" w:ascii="Times New Roman Regular" w:hAnsi="Times New Roman Regular" w:cs="Times New Roman Regular"/>
                <w:sz w:val="24"/>
              </w:rPr>
              <w:t>upper 3000 m ocean heat content time series</w:t>
            </w:r>
          </w:p>
        </w:tc>
      </w:tr>
      <w:tr w14:paraId="46B7CFA2">
        <w:tc>
          <w:tcPr>
            <w:tcW w:w="710" w:type="dxa"/>
          </w:tcPr>
          <w:p w14:paraId="708FA178">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10</w:t>
            </w:r>
          </w:p>
        </w:tc>
        <w:tc>
          <w:tcPr>
            <w:tcW w:w="1515" w:type="dxa"/>
          </w:tcPr>
          <w:p w14:paraId="5132723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ohc0_4000</w:t>
            </w:r>
          </w:p>
        </w:tc>
        <w:tc>
          <w:tcPr>
            <w:tcW w:w="1520" w:type="dxa"/>
          </w:tcPr>
          <w:p w14:paraId="1754073D">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775" w:type="dxa"/>
          </w:tcPr>
          <w:p w14:paraId="0DA67A8B">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 xml:space="preserve">Global </w:t>
            </w:r>
            <w:r>
              <w:rPr>
                <w:rFonts w:hint="eastAsia" w:ascii="Times New Roman Regular" w:hAnsi="Times New Roman Regular" w:cs="Times New Roman Regular"/>
                <w:sz w:val="24"/>
              </w:rPr>
              <w:t>upper 4000 m ocean heat content time series</w:t>
            </w:r>
          </w:p>
        </w:tc>
      </w:tr>
      <w:tr w14:paraId="32C18B70">
        <w:tc>
          <w:tcPr>
            <w:tcW w:w="710" w:type="dxa"/>
          </w:tcPr>
          <w:p w14:paraId="14A548FB">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w:t>
            </w:r>
          </w:p>
        </w:tc>
        <w:tc>
          <w:tcPr>
            <w:tcW w:w="1515" w:type="dxa"/>
          </w:tcPr>
          <w:p w14:paraId="23ED7178">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ohc0_5000</w:t>
            </w:r>
          </w:p>
        </w:tc>
        <w:tc>
          <w:tcPr>
            <w:tcW w:w="1520" w:type="dxa"/>
          </w:tcPr>
          <w:p w14:paraId="6726C97B">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775" w:type="dxa"/>
          </w:tcPr>
          <w:p w14:paraId="560C5910">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 xml:space="preserve">Global </w:t>
            </w:r>
            <w:r>
              <w:rPr>
                <w:rFonts w:hint="eastAsia" w:ascii="Times New Roman Regular" w:hAnsi="Times New Roman Regular" w:cs="Times New Roman Regular"/>
                <w:sz w:val="24"/>
              </w:rPr>
              <w:t>upper 5000 m ocean heat content time series</w:t>
            </w:r>
          </w:p>
        </w:tc>
      </w:tr>
      <w:tr w14:paraId="2B1D121F">
        <w:tc>
          <w:tcPr>
            <w:tcW w:w="710" w:type="dxa"/>
          </w:tcPr>
          <w:p w14:paraId="460F0C3F">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12</w:t>
            </w:r>
          </w:p>
        </w:tc>
        <w:tc>
          <w:tcPr>
            <w:tcW w:w="1515" w:type="dxa"/>
          </w:tcPr>
          <w:p w14:paraId="4A55AE71">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ohc0_6000</w:t>
            </w:r>
          </w:p>
        </w:tc>
        <w:tc>
          <w:tcPr>
            <w:tcW w:w="1520" w:type="dxa"/>
          </w:tcPr>
          <w:p w14:paraId="541211EC">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1×1008 double</w:t>
            </w:r>
          </w:p>
        </w:tc>
        <w:tc>
          <w:tcPr>
            <w:tcW w:w="4775" w:type="dxa"/>
          </w:tcPr>
          <w:p w14:paraId="544661A6">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 xml:space="preserve">Global </w:t>
            </w:r>
            <w:r>
              <w:rPr>
                <w:rFonts w:hint="eastAsia" w:ascii="Times New Roman Regular" w:hAnsi="Times New Roman Regular" w:cs="Times New Roman Regular"/>
                <w:sz w:val="24"/>
              </w:rPr>
              <w:t>upper 6000 m ocean heat content time series</w:t>
            </w:r>
          </w:p>
        </w:tc>
      </w:tr>
    </w:tbl>
    <w:p w14:paraId="154CE98F">
      <w:pPr>
        <w:spacing w:line="360" w:lineRule="auto"/>
        <w:rPr>
          <w:rFonts w:ascii="Times New Roman Regular" w:hAnsi="Times New Roman Regular" w:cs="Times New Roman Regular"/>
        </w:rPr>
      </w:pPr>
    </w:p>
    <w:p w14:paraId="50ACD436">
      <w:pPr>
        <w:pStyle w:val="4"/>
        <w:spacing w:before="0" w:after="0"/>
        <w:rPr>
          <w:sz w:val="24"/>
        </w:rPr>
      </w:pPr>
      <w:r>
        <w:rPr>
          <w:rFonts w:hint="eastAsia" w:ascii="Times New Roman Regular" w:hAnsi="Times New Roman Regular" w:cs="Times New Roman Regular"/>
          <w:bCs/>
          <w:sz w:val="24"/>
        </w:rPr>
        <w:t>2.4 温度气候态数据（Climatology）</w:t>
      </w:r>
    </w:p>
    <w:p w14:paraId="71C44350">
      <w:pPr>
        <w:pStyle w:val="5"/>
        <w:spacing w:before="0" w:after="0"/>
        <w:rPr>
          <w:sz w:val="24"/>
          <w:szCs w:val="22"/>
        </w:rPr>
      </w:pPr>
      <w:r>
        <w:rPr>
          <w:rFonts w:hint="eastAsia"/>
          <w:sz w:val="24"/>
          <w:szCs w:val="22"/>
        </w:rPr>
        <w:t>2</w:t>
      </w:r>
      <w:r>
        <w:rPr>
          <w:sz w:val="24"/>
          <w:szCs w:val="22"/>
        </w:rPr>
        <w:t>.</w:t>
      </w:r>
      <w:r>
        <w:rPr>
          <w:rFonts w:hint="eastAsia"/>
          <w:sz w:val="24"/>
          <w:szCs w:val="22"/>
        </w:rPr>
        <w:t>4</w:t>
      </w:r>
      <w:r>
        <w:rPr>
          <w:sz w:val="24"/>
          <w:szCs w:val="22"/>
        </w:rPr>
        <w:t>.</w:t>
      </w:r>
      <w:r>
        <w:rPr>
          <w:rFonts w:hint="eastAsia"/>
          <w:sz w:val="24"/>
          <w:szCs w:val="22"/>
        </w:rPr>
        <w:t>1</w:t>
      </w:r>
      <w:r>
        <w:rPr>
          <w:sz w:val="24"/>
          <w:szCs w:val="22"/>
        </w:rPr>
        <w:t xml:space="preserve"> </w:t>
      </w:r>
      <w:r>
        <w:rPr>
          <w:rFonts w:hint="eastAsia"/>
          <w:sz w:val="24"/>
          <w:szCs w:val="22"/>
        </w:rPr>
        <w:t>IAP</w:t>
      </w:r>
    </w:p>
    <w:p w14:paraId="33486BFF">
      <w:pPr>
        <w:spacing w:line="360" w:lineRule="auto"/>
        <w:rPr>
          <w:rFonts w:ascii="Times New Roman Regular" w:hAnsi="Times New Roman Regular" w:cs="Times New Roman Regular"/>
          <w:sz w:val="24"/>
        </w:rPr>
      </w:pPr>
      <w:r>
        <w:rPr>
          <w:rFonts w:hint="eastAsia" w:ascii="Times New Roman Regular" w:hAnsi="Times New Roman Regular" w:cs="Times New Roman Regular"/>
          <w:b/>
          <w:bCs/>
          <w:sz w:val="24"/>
        </w:rPr>
        <w:t xml:space="preserve"> </w:t>
      </w:r>
      <w:r>
        <w:rPr>
          <w:rFonts w:ascii="Times New Roman Regular" w:hAnsi="Times New Roman Regular" w:cs="Times New Roman Regular"/>
          <w:b/>
          <w:bCs/>
          <w:sz w:val="24"/>
        </w:rPr>
        <w:t xml:space="preserve"> </w:t>
      </w:r>
      <w:r>
        <w:rPr>
          <w:rFonts w:ascii="Times New Roman Regular" w:hAnsi="Times New Roman Regular" w:cs="Times New Roman Regular"/>
          <w:sz w:val="24"/>
        </w:rPr>
        <w:t>文件夹路径</w:t>
      </w:r>
      <w:r>
        <w:rPr>
          <w:rFonts w:hint="eastAsia" w:ascii="Times New Roman Regular" w:hAnsi="Times New Roman Regular" w:cs="Times New Roman Regular"/>
          <w:sz w:val="24"/>
        </w:rPr>
        <w:t>（folder）</w:t>
      </w:r>
      <w:r>
        <w:rPr>
          <w:rFonts w:ascii="Times New Roman Regular" w:hAnsi="Times New Roman Regular" w:cs="Times New Roman Regular"/>
          <w:sz w:val="24"/>
        </w:rPr>
        <w:t>：</w:t>
      </w:r>
      <w:r>
        <w:rPr>
          <w:rFonts w:hint="eastAsia" w:ascii="Times New Roman Regular" w:hAnsi="Times New Roman Regular" w:cs="Times New Roman Regular"/>
          <w:sz w:val="24"/>
        </w:rPr>
        <w:t>Climatology_2000m_20052020Clim_2023new2</w:t>
      </w:r>
    </w:p>
    <w:p w14:paraId="3AD25230">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 xml:space="preserve">  </w:t>
      </w:r>
      <w:r>
        <w:rPr>
          <w:rFonts w:hint="eastAsia" w:ascii="Times New Roman Regular" w:hAnsi="Times New Roman Regular" w:cs="Times New Roman Regular"/>
          <w:sz w:val="24"/>
        </w:rPr>
        <w:t>文件名（file）：Climatology_analysis_ENOI2024_final_v1_</w:t>
      </w:r>
      <w:r>
        <w:rPr>
          <w:rFonts w:ascii="Times New Roman Regular" w:hAnsi="Times New Roman Regular" w:cs="Times New Roman Regular"/>
          <w:sz w:val="24"/>
        </w:rPr>
        <w:t>{month}</w:t>
      </w:r>
      <w:r>
        <w:rPr>
          <w:rFonts w:hint="eastAsia" w:ascii="Times New Roman Regular" w:hAnsi="Times New Roman Regular" w:cs="Times New Roman Regular"/>
          <w:sz w:val="24"/>
        </w:rPr>
        <w:t>_len_25_Mean</w:t>
      </w:r>
    </w:p>
    <w:p w14:paraId="285E2EF3">
      <w:pPr>
        <w:spacing w:line="360" w:lineRule="auto"/>
        <w:rPr>
          <w:rFonts w:hint="default" w:ascii="Times New Roman Regular" w:hAnsi="Times New Roman Regular" w:cs="Times New Roman Regular"/>
          <w:sz w:val="24"/>
          <w:lang w:val="en-US"/>
        </w:rPr>
      </w:pPr>
      <w:r>
        <w:rPr>
          <w:rFonts w:hint="eastAsia" w:ascii="Times New Roman Regular" w:hAnsi="Times New Roman Regular" w:cs="Times New Roman Regular"/>
          <w:sz w:val="24"/>
        </w:rPr>
        <w:t>_3_t_1131111.</w:t>
      </w:r>
      <w:r>
        <w:rPr>
          <w:rFonts w:hint="default" w:ascii="Times New Roman Regular" w:hAnsi="Times New Roman Regular" w:cs="Times New Roman Regular"/>
          <w:sz w:val="24"/>
          <w:lang w:val="en-US"/>
        </w:rPr>
        <w:t>{</w:t>
      </w:r>
      <w:r>
        <w:rPr>
          <w:rFonts w:hint="eastAsia" w:ascii="Times New Roman Regular" w:hAnsi="Times New Roman Regular" w:cs="Times New Roman Regular"/>
          <w:sz w:val="24"/>
        </w:rPr>
        <w:t>mat</w:t>
      </w:r>
      <w:r>
        <w:rPr>
          <w:rFonts w:hint="default" w:ascii="Times New Roman Regular" w:hAnsi="Times New Roman Regular" w:cs="Times New Roman Regular"/>
          <w:sz w:val="24"/>
          <w:lang w:val="en-US"/>
        </w:rPr>
        <w:t>/nc}</w:t>
      </w:r>
    </w:p>
    <w:p w14:paraId="11DD1574">
      <w:pPr>
        <w:spacing w:line="360" w:lineRule="auto"/>
        <w:ind w:firstLine="240" w:firstLineChars="100"/>
        <w:rPr>
          <w:rFonts w:ascii="Times New Roman Regular" w:hAnsi="Times New Roman Regular" w:cs="Times New Roman Regular"/>
          <w:sz w:val="24"/>
        </w:rPr>
      </w:pPr>
      <w:r>
        <w:rPr>
          <w:rFonts w:ascii="Times New Roman Regular" w:hAnsi="Times New Roman Regular" w:cs="Times New Roman Regular"/>
          <w:sz w:val="24"/>
        </w:rPr>
        <w:t>变量</w:t>
      </w:r>
      <w:r>
        <w:rPr>
          <w:rFonts w:hint="eastAsia" w:ascii="Times New Roman Regular" w:hAnsi="Times New Roman Regular" w:cs="Times New Roman Regular"/>
          <w:sz w:val="24"/>
        </w:rPr>
        <w:t>名表（variable table）</w:t>
      </w:r>
      <w:r>
        <w:rPr>
          <w:rFonts w:ascii="Times New Roman Regular" w:hAnsi="Times New Roman Regular" w:cs="Times New Roman Regular"/>
          <w:sz w:val="24"/>
        </w:rPr>
        <w: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1499"/>
        <w:gridCol w:w="3322"/>
        <w:gridCol w:w="2622"/>
      </w:tblGrid>
      <w:tr w14:paraId="42844D98">
        <w:tc>
          <w:tcPr>
            <w:tcW w:w="1079" w:type="dxa"/>
          </w:tcPr>
          <w:p w14:paraId="08CC3760">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序号</w:t>
            </w:r>
          </w:p>
        </w:tc>
        <w:tc>
          <w:tcPr>
            <w:tcW w:w="1499" w:type="dxa"/>
          </w:tcPr>
          <w:p w14:paraId="6119B15A">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变量名称</w:t>
            </w:r>
          </w:p>
        </w:tc>
        <w:tc>
          <w:tcPr>
            <w:tcW w:w="3322" w:type="dxa"/>
          </w:tcPr>
          <w:p w14:paraId="4F749A8F">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类型</w:t>
            </w:r>
          </w:p>
        </w:tc>
        <w:tc>
          <w:tcPr>
            <w:tcW w:w="2622" w:type="dxa"/>
          </w:tcPr>
          <w:p w14:paraId="33A71538">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变量说明</w:t>
            </w:r>
          </w:p>
        </w:tc>
      </w:tr>
      <w:tr w14:paraId="610EC29C">
        <w:tc>
          <w:tcPr>
            <w:tcW w:w="1079" w:type="dxa"/>
            <w:shd w:val="clear" w:color="auto" w:fill="auto"/>
          </w:tcPr>
          <w:p w14:paraId="732DDC42">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w:t>
            </w:r>
          </w:p>
        </w:tc>
        <w:tc>
          <w:tcPr>
            <w:tcW w:w="1499" w:type="dxa"/>
          </w:tcPr>
          <w:p w14:paraId="19629A5B">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Tclim_filling</w:t>
            </w:r>
          </w:p>
        </w:tc>
        <w:tc>
          <w:tcPr>
            <w:tcW w:w="3322" w:type="dxa"/>
          </w:tcPr>
          <w:p w14:paraId="7092BDEE">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119×360×180 double</w:t>
            </w:r>
          </w:p>
        </w:tc>
        <w:tc>
          <w:tcPr>
            <w:tcW w:w="2622" w:type="dxa"/>
          </w:tcPr>
          <w:p w14:paraId="031D0645">
            <w:pPr>
              <w:spacing w:line="360" w:lineRule="auto"/>
              <w:rPr>
                <w:rFonts w:ascii="Times New Roman Regular" w:hAnsi="Times New Roman Regular" w:cs="Times New Roman Regular"/>
                <w:sz w:val="24"/>
              </w:rPr>
            </w:pPr>
          </w:p>
        </w:tc>
      </w:tr>
    </w:tbl>
    <w:p w14:paraId="3F3C41AD">
      <w:pPr>
        <w:spacing w:line="360" w:lineRule="auto"/>
        <w:rPr>
          <w:rFonts w:ascii="Times New Roman Regular" w:hAnsi="Times New Roman Regular" w:cs="Times New Roman Regular"/>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2088"/>
        <w:gridCol w:w="2733"/>
        <w:gridCol w:w="2622"/>
      </w:tblGrid>
      <w:tr w14:paraId="03986555">
        <w:tc>
          <w:tcPr>
            <w:tcW w:w="1079" w:type="dxa"/>
          </w:tcPr>
          <w:p w14:paraId="72D262B0">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index</w:t>
            </w:r>
          </w:p>
        </w:tc>
        <w:tc>
          <w:tcPr>
            <w:tcW w:w="2088" w:type="dxa"/>
          </w:tcPr>
          <w:p w14:paraId="597D43BF">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variable name</w:t>
            </w:r>
          </w:p>
        </w:tc>
        <w:tc>
          <w:tcPr>
            <w:tcW w:w="2733" w:type="dxa"/>
          </w:tcPr>
          <w:p w14:paraId="36A35E8A">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type</w:t>
            </w:r>
          </w:p>
        </w:tc>
        <w:tc>
          <w:tcPr>
            <w:tcW w:w="2622" w:type="dxa"/>
          </w:tcPr>
          <w:p w14:paraId="4AE4315E">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comment</w:t>
            </w:r>
          </w:p>
        </w:tc>
      </w:tr>
      <w:tr w14:paraId="535DAD3F">
        <w:tc>
          <w:tcPr>
            <w:tcW w:w="1079" w:type="dxa"/>
            <w:shd w:val="clear" w:color="auto" w:fill="auto"/>
          </w:tcPr>
          <w:p w14:paraId="519294BA">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w:t>
            </w:r>
          </w:p>
        </w:tc>
        <w:tc>
          <w:tcPr>
            <w:tcW w:w="2088" w:type="dxa"/>
          </w:tcPr>
          <w:p w14:paraId="03F2C37B">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Tclim_filling</w:t>
            </w:r>
          </w:p>
        </w:tc>
        <w:tc>
          <w:tcPr>
            <w:tcW w:w="2733" w:type="dxa"/>
          </w:tcPr>
          <w:p w14:paraId="17EC6B75">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119×360×180 double</w:t>
            </w:r>
          </w:p>
        </w:tc>
        <w:tc>
          <w:tcPr>
            <w:tcW w:w="2622" w:type="dxa"/>
          </w:tcPr>
          <w:p w14:paraId="3BF2AC11">
            <w:pPr>
              <w:spacing w:line="360" w:lineRule="auto"/>
              <w:rPr>
                <w:rFonts w:ascii="Times New Roman Regular" w:hAnsi="Times New Roman Regular" w:cs="Times New Roman Regular"/>
                <w:sz w:val="24"/>
              </w:rPr>
            </w:pPr>
          </w:p>
        </w:tc>
      </w:tr>
    </w:tbl>
    <w:p w14:paraId="78E3351F">
      <w:pPr>
        <w:spacing w:line="360" w:lineRule="auto"/>
        <w:rPr>
          <w:rFonts w:ascii="Times New Roman Regular" w:hAnsi="Times New Roman Regular" w:cs="Times New Roman Regular"/>
        </w:rPr>
      </w:pPr>
    </w:p>
    <w:p w14:paraId="1E71F4A5">
      <w:pPr>
        <w:pStyle w:val="5"/>
        <w:spacing w:before="0" w:after="0"/>
        <w:rPr>
          <w:sz w:val="24"/>
          <w:szCs w:val="22"/>
        </w:rPr>
      </w:pPr>
      <w:r>
        <w:rPr>
          <w:rFonts w:hint="eastAsia"/>
          <w:sz w:val="24"/>
          <w:szCs w:val="22"/>
        </w:rPr>
        <w:t>2</w:t>
      </w:r>
      <w:r>
        <w:rPr>
          <w:sz w:val="24"/>
          <w:szCs w:val="22"/>
        </w:rPr>
        <w:t>.</w:t>
      </w:r>
      <w:r>
        <w:rPr>
          <w:rFonts w:hint="eastAsia"/>
          <w:sz w:val="24"/>
          <w:szCs w:val="22"/>
        </w:rPr>
        <w:t>4</w:t>
      </w:r>
      <w:r>
        <w:rPr>
          <w:sz w:val="24"/>
          <w:szCs w:val="22"/>
        </w:rPr>
        <w:t>.</w:t>
      </w:r>
      <w:r>
        <w:rPr>
          <w:rFonts w:hint="eastAsia"/>
          <w:sz w:val="24"/>
          <w:szCs w:val="22"/>
        </w:rPr>
        <w:t>2</w:t>
      </w:r>
      <w:r>
        <w:rPr>
          <w:sz w:val="24"/>
          <w:szCs w:val="22"/>
        </w:rPr>
        <w:t xml:space="preserve"> </w:t>
      </w:r>
      <w:r>
        <w:rPr>
          <w:rFonts w:hint="eastAsia"/>
          <w:sz w:val="24"/>
          <w:szCs w:val="22"/>
        </w:rPr>
        <w:t>WAGHC</w:t>
      </w:r>
    </w:p>
    <w:p w14:paraId="42289FDC">
      <w:pPr>
        <w:spacing w:line="360" w:lineRule="auto"/>
        <w:rPr>
          <w:rFonts w:ascii="Times New Roman Regular" w:hAnsi="Times New Roman Regular" w:cs="Times New Roman Regular"/>
          <w:sz w:val="24"/>
        </w:rPr>
      </w:pPr>
      <w:r>
        <w:rPr>
          <w:rFonts w:ascii="Times New Roman Regular" w:hAnsi="Times New Roman Regular" w:cs="Times New Roman Regular"/>
          <w:b/>
          <w:bCs/>
          <w:sz w:val="24"/>
        </w:rPr>
        <w:t xml:space="preserve">  </w:t>
      </w:r>
      <w:r>
        <w:rPr>
          <w:rFonts w:ascii="Times New Roman Regular" w:hAnsi="Times New Roman Regular" w:cs="Times New Roman Regular"/>
          <w:sz w:val="24"/>
        </w:rPr>
        <w:t>文件夹路径</w:t>
      </w:r>
      <w:r>
        <w:rPr>
          <w:rFonts w:hint="eastAsia" w:ascii="Times New Roman Regular" w:hAnsi="Times New Roman Regular" w:cs="Times New Roman Regular"/>
          <w:sz w:val="24"/>
        </w:rPr>
        <w:t>（folder）</w:t>
      </w:r>
      <w:r>
        <w:rPr>
          <w:rFonts w:ascii="Times New Roman Regular" w:hAnsi="Times New Roman Regular" w:cs="Times New Roman Regular"/>
          <w:sz w:val="24"/>
        </w:rPr>
        <w:t>：</w:t>
      </w:r>
      <w:r>
        <w:rPr>
          <w:rFonts w:hint="eastAsia" w:ascii="Times New Roman Regular" w:hAnsi="Times New Roman Regular" w:cs="Times New Roman Regular"/>
          <w:sz w:val="24"/>
        </w:rPr>
        <w:t>Climatology_2000m_20052020Clim_2023new2</w:t>
      </w:r>
    </w:p>
    <w:p w14:paraId="2A058B50">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 xml:space="preserve">  </w:t>
      </w:r>
      <w:r>
        <w:rPr>
          <w:rFonts w:hint="eastAsia" w:ascii="Times New Roman Regular" w:hAnsi="Times New Roman Regular" w:cs="Times New Roman Regular"/>
          <w:sz w:val="24"/>
        </w:rPr>
        <w:t>文件名（file）：Climatology_analysis_standarlise_WAGHC_</w:t>
      </w:r>
      <w:r>
        <w:rPr>
          <w:rFonts w:ascii="Times New Roman Regular" w:hAnsi="Times New Roman Regular" w:cs="Times New Roman Regular"/>
          <w:sz w:val="24"/>
        </w:rPr>
        <w:t>{month}</w:t>
      </w:r>
      <w:r>
        <w:rPr>
          <w:rFonts w:hint="eastAsia" w:ascii="Times New Roman Regular" w:hAnsi="Times New Roman Regular" w:cs="Times New Roman Regular"/>
          <w:sz w:val="24"/>
        </w:rPr>
        <w:t>.</w:t>
      </w:r>
      <w:r>
        <w:rPr>
          <w:rFonts w:hint="default" w:ascii="Times New Roman Regular" w:hAnsi="Times New Roman Regular" w:cs="Times New Roman Regular"/>
          <w:sz w:val="24"/>
          <w:lang w:val="en-US"/>
        </w:rPr>
        <w:t>{</w:t>
      </w:r>
      <w:r>
        <w:rPr>
          <w:rFonts w:hint="eastAsia" w:ascii="Times New Roman Regular" w:hAnsi="Times New Roman Regular" w:cs="Times New Roman Regular"/>
          <w:sz w:val="24"/>
        </w:rPr>
        <w:t>mat</w:t>
      </w:r>
      <w:r>
        <w:rPr>
          <w:rFonts w:hint="default" w:ascii="Times New Roman Regular" w:hAnsi="Times New Roman Regular" w:cs="Times New Roman Regular"/>
          <w:sz w:val="24"/>
          <w:lang w:val="en-US"/>
        </w:rPr>
        <w:t>/nc}</w:t>
      </w:r>
    </w:p>
    <w:p w14:paraId="23A7D977">
      <w:pPr>
        <w:spacing w:line="360" w:lineRule="auto"/>
        <w:ind w:firstLine="240" w:firstLineChars="100"/>
        <w:rPr>
          <w:rFonts w:ascii="Times New Roman Regular" w:hAnsi="Times New Roman Regular" w:cs="Times New Roman Regular"/>
          <w:sz w:val="24"/>
        </w:rPr>
      </w:pPr>
      <w:r>
        <w:rPr>
          <w:rFonts w:ascii="Times New Roman Regular" w:hAnsi="Times New Roman Regular" w:cs="Times New Roman Regular"/>
          <w:sz w:val="24"/>
        </w:rPr>
        <w:t>变量</w:t>
      </w:r>
      <w:r>
        <w:rPr>
          <w:rFonts w:hint="eastAsia" w:ascii="Times New Roman Regular" w:hAnsi="Times New Roman Regular" w:cs="Times New Roman Regular"/>
          <w:sz w:val="24"/>
        </w:rPr>
        <w:t>名表（variable name）</w:t>
      </w:r>
      <w:r>
        <w:rPr>
          <w:rFonts w:ascii="Times New Roman Regular" w:hAnsi="Times New Roman Regular" w:cs="Times New Roman Regular"/>
          <w:sz w:val="24"/>
        </w:rPr>
        <w: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1499"/>
        <w:gridCol w:w="3309"/>
        <w:gridCol w:w="2635"/>
      </w:tblGrid>
      <w:tr w14:paraId="25BD4A8C">
        <w:tc>
          <w:tcPr>
            <w:tcW w:w="1079" w:type="dxa"/>
          </w:tcPr>
          <w:p w14:paraId="46B53BE1">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序号</w:t>
            </w:r>
          </w:p>
        </w:tc>
        <w:tc>
          <w:tcPr>
            <w:tcW w:w="1499" w:type="dxa"/>
          </w:tcPr>
          <w:p w14:paraId="16E59372">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变量名称</w:t>
            </w:r>
          </w:p>
        </w:tc>
        <w:tc>
          <w:tcPr>
            <w:tcW w:w="3309" w:type="dxa"/>
          </w:tcPr>
          <w:p w14:paraId="05807619">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类型</w:t>
            </w:r>
          </w:p>
        </w:tc>
        <w:tc>
          <w:tcPr>
            <w:tcW w:w="2635" w:type="dxa"/>
          </w:tcPr>
          <w:p w14:paraId="28E3C43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变量说明</w:t>
            </w:r>
          </w:p>
        </w:tc>
      </w:tr>
      <w:tr w14:paraId="0E0925B9">
        <w:tc>
          <w:tcPr>
            <w:tcW w:w="1079" w:type="dxa"/>
            <w:shd w:val="clear" w:color="auto" w:fill="auto"/>
          </w:tcPr>
          <w:p w14:paraId="382CD389">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w:t>
            </w:r>
          </w:p>
        </w:tc>
        <w:tc>
          <w:tcPr>
            <w:tcW w:w="1499" w:type="dxa"/>
          </w:tcPr>
          <w:p w14:paraId="160F764C">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ohc_analysis</w:t>
            </w:r>
          </w:p>
        </w:tc>
        <w:tc>
          <w:tcPr>
            <w:tcW w:w="3309" w:type="dxa"/>
          </w:tcPr>
          <w:p w14:paraId="5D2B0B57">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119×360×180 double</w:t>
            </w:r>
          </w:p>
        </w:tc>
        <w:tc>
          <w:tcPr>
            <w:tcW w:w="2635" w:type="dxa"/>
          </w:tcPr>
          <w:p w14:paraId="1D83EDC8">
            <w:pPr>
              <w:spacing w:line="360" w:lineRule="auto"/>
              <w:rPr>
                <w:rFonts w:ascii="Times New Roman Regular" w:hAnsi="Times New Roman Regular" w:cs="Times New Roman Regular"/>
                <w:sz w:val="24"/>
              </w:rPr>
            </w:pPr>
          </w:p>
        </w:tc>
      </w:tr>
    </w:tbl>
    <w:p w14:paraId="0DCF7764">
      <w:pPr>
        <w:spacing w:line="360" w:lineRule="auto"/>
        <w:rPr>
          <w:rFonts w:ascii="Times New Roman Regular" w:hAnsi="Times New Roman Regular" w:cs="Times New Roman Regular"/>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2088"/>
        <w:gridCol w:w="2733"/>
        <w:gridCol w:w="2622"/>
      </w:tblGrid>
      <w:tr w14:paraId="1C9870FD">
        <w:tc>
          <w:tcPr>
            <w:tcW w:w="1079" w:type="dxa"/>
          </w:tcPr>
          <w:p w14:paraId="057A9C76">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index</w:t>
            </w:r>
          </w:p>
        </w:tc>
        <w:tc>
          <w:tcPr>
            <w:tcW w:w="2088" w:type="dxa"/>
          </w:tcPr>
          <w:p w14:paraId="1338488D">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variable name</w:t>
            </w:r>
          </w:p>
        </w:tc>
        <w:tc>
          <w:tcPr>
            <w:tcW w:w="2733" w:type="dxa"/>
          </w:tcPr>
          <w:p w14:paraId="4876B145">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type</w:t>
            </w:r>
          </w:p>
        </w:tc>
        <w:tc>
          <w:tcPr>
            <w:tcW w:w="2622" w:type="dxa"/>
          </w:tcPr>
          <w:p w14:paraId="3C9EB468">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comment</w:t>
            </w:r>
          </w:p>
        </w:tc>
      </w:tr>
      <w:tr w14:paraId="7BB4AD1A">
        <w:tc>
          <w:tcPr>
            <w:tcW w:w="1079" w:type="dxa"/>
            <w:shd w:val="clear" w:color="auto" w:fill="auto"/>
          </w:tcPr>
          <w:p w14:paraId="0CD8FB23">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w:t>
            </w:r>
          </w:p>
        </w:tc>
        <w:tc>
          <w:tcPr>
            <w:tcW w:w="2088" w:type="dxa"/>
          </w:tcPr>
          <w:p w14:paraId="1924F2FD">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ohc_analysis</w:t>
            </w:r>
          </w:p>
        </w:tc>
        <w:tc>
          <w:tcPr>
            <w:tcW w:w="2733" w:type="dxa"/>
          </w:tcPr>
          <w:p w14:paraId="31B078D5">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119×360×180 double</w:t>
            </w:r>
          </w:p>
        </w:tc>
        <w:tc>
          <w:tcPr>
            <w:tcW w:w="2622" w:type="dxa"/>
          </w:tcPr>
          <w:p w14:paraId="55D51833">
            <w:pPr>
              <w:spacing w:line="360" w:lineRule="auto"/>
              <w:rPr>
                <w:rFonts w:ascii="Times New Roman Regular" w:hAnsi="Times New Roman Regular" w:cs="Times New Roman Regular"/>
                <w:sz w:val="24"/>
              </w:rPr>
            </w:pPr>
          </w:p>
        </w:tc>
      </w:tr>
    </w:tbl>
    <w:p w14:paraId="49D3E93F">
      <w:pPr>
        <w:spacing w:line="360" w:lineRule="auto"/>
        <w:rPr>
          <w:rFonts w:ascii="Times New Roman Regular" w:hAnsi="Times New Roman Regular" w:cs="Times New Roman Regular"/>
        </w:rPr>
      </w:pPr>
    </w:p>
    <w:p w14:paraId="6F7E5C04">
      <w:pPr>
        <w:pStyle w:val="5"/>
        <w:spacing w:before="0" w:after="0"/>
        <w:rPr>
          <w:sz w:val="24"/>
          <w:szCs w:val="22"/>
        </w:rPr>
      </w:pPr>
      <w:r>
        <w:rPr>
          <w:rFonts w:hint="eastAsia"/>
          <w:sz w:val="24"/>
          <w:szCs w:val="22"/>
        </w:rPr>
        <w:t>2</w:t>
      </w:r>
      <w:r>
        <w:rPr>
          <w:sz w:val="24"/>
          <w:szCs w:val="22"/>
        </w:rPr>
        <w:t>.</w:t>
      </w:r>
      <w:r>
        <w:rPr>
          <w:rFonts w:hint="eastAsia"/>
          <w:sz w:val="24"/>
          <w:szCs w:val="22"/>
        </w:rPr>
        <w:t>4</w:t>
      </w:r>
      <w:r>
        <w:rPr>
          <w:sz w:val="24"/>
          <w:szCs w:val="22"/>
        </w:rPr>
        <w:t>.</w:t>
      </w:r>
      <w:r>
        <w:rPr>
          <w:rFonts w:hint="eastAsia"/>
          <w:sz w:val="24"/>
          <w:szCs w:val="22"/>
        </w:rPr>
        <w:t>3</w:t>
      </w:r>
      <w:r>
        <w:rPr>
          <w:sz w:val="24"/>
          <w:szCs w:val="22"/>
        </w:rPr>
        <w:t xml:space="preserve"> </w:t>
      </w:r>
      <w:r>
        <w:rPr>
          <w:rFonts w:hint="eastAsia"/>
          <w:sz w:val="24"/>
          <w:szCs w:val="22"/>
        </w:rPr>
        <w:t>WOA</w:t>
      </w:r>
    </w:p>
    <w:p w14:paraId="4B141253">
      <w:pPr>
        <w:spacing w:line="360" w:lineRule="auto"/>
        <w:rPr>
          <w:rFonts w:ascii="Times New Roman Regular" w:hAnsi="Times New Roman Regular" w:cs="Times New Roman Regular"/>
          <w:sz w:val="24"/>
        </w:rPr>
      </w:pPr>
      <w:r>
        <w:rPr>
          <w:rFonts w:ascii="Times New Roman Regular" w:hAnsi="Times New Roman Regular" w:cs="Times New Roman Regular"/>
          <w:b/>
          <w:bCs/>
          <w:sz w:val="24"/>
        </w:rPr>
        <w:t xml:space="preserve"> </w:t>
      </w:r>
      <w:r>
        <w:rPr>
          <w:rFonts w:ascii="Times New Roman Regular" w:hAnsi="Times New Roman Regular" w:cs="Times New Roman Regular"/>
          <w:sz w:val="24"/>
        </w:rPr>
        <w:t>文件夹路径</w:t>
      </w:r>
      <w:r>
        <w:rPr>
          <w:rFonts w:hint="eastAsia" w:ascii="Times New Roman Regular" w:hAnsi="Times New Roman Regular" w:cs="Times New Roman Regular"/>
          <w:sz w:val="24"/>
        </w:rPr>
        <w:t>（folder）</w:t>
      </w:r>
      <w:r>
        <w:rPr>
          <w:rFonts w:ascii="Times New Roman Regular" w:hAnsi="Times New Roman Regular" w:cs="Times New Roman Regular"/>
          <w:sz w:val="24"/>
        </w:rPr>
        <w:t>：</w:t>
      </w:r>
      <w:r>
        <w:rPr>
          <w:rFonts w:hint="eastAsia" w:ascii="Times New Roman Regular" w:hAnsi="Times New Roman Regular" w:cs="Times New Roman Regular"/>
          <w:sz w:val="24"/>
        </w:rPr>
        <w:t>Climatology_2000m_20052020Clim_2023new2</w:t>
      </w:r>
    </w:p>
    <w:p w14:paraId="42116056">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 xml:space="preserve">  </w:t>
      </w:r>
      <w:r>
        <w:rPr>
          <w:rFonts w:hint="eastAsia" w:ascii="Times New Roman Regular" w:hAnsi="Times New Roman Regular" w:cs="Times New Roman Regular"/>
          <w:sz w:val="24"/>
        </w:rPr>
        <w:t>文件名（file）：Climatology_analysis_standarlise_WOA_</w:t>
      </w:r>
      <w:r>
        <w:rPr>
          <w:rFonts w:ascii="Times New Roman Regular" w:hAnsi="Times New Roman Regular" w:cs="Times New Roman Regular"/>
          <w:sz w:val="24"/>
        </w:rPr>
        <w:t>{month}</w:t>
      </w:r>
      <w:r>
        <w:rPr>
          <w:rFonts w:hint="eastAsia" w:ascii="Times New Roman Regular" w:hAnsi="Times New Roman Regular" w:cs="Times New Roman Regular"/>
          <w:sz w:val="24"/>
        </w:rPr>
        <w:t>.</w:t>
      </w:r>
      <w:r>
        <w:rPr>
          <w:rFonts w:hint="default" w:ascii="Times New Roman Regular" w:hAnsi="Times New Roman Regular" w:cs="Times New Roman Regular"/>
          <w:sz w:val="24"/>
          <w:lang w:val="en-US"/>
        </w:rPr>
        <w:t>{</w:t>
      </w:r>
      <w:r>
        <w:rPr>
          <w:rFonts w:hint="eastAsia" w:ascii="Times New Roman Regular" w:hAnsi="Times New Roman Regular" w:cs="Times New Roman Regular"/>
          <w:sz w:val="24"/>
        </w:rPr>
        <w:t>mat</w:t>
      </w:r>
      <w:r>
        <w:rPr>
          <w:rFonts w:hint="default" w:ascii="Times New Roman Regular" w:hAnsi="Times New Roman Regular" w:cs="Times New Roman Regular"/>
          <w:sz w:val="24"/>
          <w:lang w:val="en-US"/>
        </w:rPr>
        <w:t>/nc}</w:t>
      </w:r>
    </w:p>
    <w:p w14:paraId="6039EB62">
      <w:pPr>
        <w:spacing w:line="360" w:lineRule="auto"/>
        <w:ind w:firstLine="240" w:firstLineChars="100"/>
        <w:rPr>
          <w:rFonts w:ascii="Times New Roman Regular" w:hAnsi="Times New Roman Regular" w:cs="Times New Roman Regular"/>
          <w:sz w:val="24"/>
        </w:rPr>
      </w:pPr>
      <w:r>
        <w:rPr>
          <w:rFonts w:ascii="Times New Roman Regular" w:hAnsi="Times New Roman Regular" w:cs="Times New Roman Regular"/>
          <w:sz w:val="24"/>
        </w:rPr>
        <w:t>变量</w:t>
      </w:r>
      <w:r>
        <w:rPr>
          <w:rFonts w:hint="eastAsia" w:ascii="Times New Roman Regular" w:hAnsi="Times New Roman Regular" w:cs="Times New Roman Regular"/>
          <w:sz w:val="24"/>
        </w:rPr>
        <w:t>名表（variable name）</w:t>
      </w:r>
      <w:r>
        <w:rPr>
          <w:rFonts w:ascii="Times New Roman Regular" w:hAnsi="Times New Roman Regular" w:cs="Times New Roman Regular"/>
          <w:sz w:val="24"/>
        </w:rPr>
        <w:t>：</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1499"/>
        <w:gridCol w:w="3296"/>
        <w:gridCol w:w="2648"/>
      </w:tblGrid>
      <w:tr w14:paraId="115786B0">
        <w:tc>
          <w:tcPr>
            <w:tcW w:w="1079" w:type="dxa"/>
          </w:tcPr>
          <w:p w14:paraId="1963A1D2">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序号</w:t>
            </w:r>
          </w:p>
        </w:tc>
        <w:tc>
          <w:tcPr>
            <w:tcW w:w="1499" w:type="dxa"/>
          </w:tcPr>
          <w:p w14:paraId="4E7E5EFF">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变量名称</w:t>
            </w:r>
          </w:p>
        </w:tc>
        <w:tc>
          <w:tcPr>
            <w:tcW w:w="3296" w:type="dxa"/>
          </w:tcPr>
          <w:p w14:paraId="174B6365">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类型</w:t>
            </w:r>
          </w:p>
        </w:tc>
        <w:tc>
          <w:tcPr>
            <w:tcW w:w="2648" w:type="dxa"/>
          </w:tcPr>
          <w:p w14:paraId="3664DDBE">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变量说明</w:t>
            </w:r>
          </w:p>
        </w:tc>
      </w:tr>
      <w:tr w14:paraId="4439E376">
        <w:tc>
          <w:tcPr>
            <w:tcW w:w="1079" w:type="dxa"/>
            <w:shd w:val="clear" w:color="auto" w:fill="auto"/>
          </w:tcPr>
          <w:p w14:paraId="3A702E93">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w:t>
            </w:r>
          </w:p>
        </w:tc>
        <w:tc>
          <w:tcPr>
            <w:tcW w:w="1499" w:type="dxa"/>
          </w:tcPr>
          <w:p w14:paraId="14E9FE6F">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ohc_analysis</w:t>
            </w:r>
          </w:p>
        </w:tc>
        <w:tc>
          <w:tcPr>
            <w:tcW w:w="3296" w:type="dxa"/>
          </w:tcPr>
          <w:p w14:paraId="3024BDD5">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119×360×180 double</w:t>
            </w:r>
          </w:p>
        </w:tc>
        <w:tc>
          <w:tcPr>
            <w:tcW w:w="2648" w:type="dxa"/>
          </w:tcPr>
          <w:p w14:paraId="24130A50">
            <w:pPr>
              <w:spacing w:line="360" w:lineRule="auto"/>
              <w:rPr>
                <w:rFonts w:ascii="Times New Roman Regular" w:hAnsi="Times New Roman Regular" w:cs="Times New Roman Regular"/>
                <w:sz w:val="24"/>
              </w:rPr>
            </w:pPr>
          </w:p>
        </w:tc>
      </w:tr>
    </w:tbl>
    <w:p w14:paraId="116E9065">
      <w:pPr>
        <w:spacing w:line="360" w:lineRule="auto"/>
        <w:rPr>
          <w:rFonts w:ascii="Times New Roman Regular" w:hAnsi="Times New Roman Regular" w:cs="Times New Roman Regular"/>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2088"/>
        <w:gridCol w:w="2733"/>
        <w:gridCol w:w="2622"/>
      </w:tblGrid>
      <w:tr w14:paraId="4F714BCD">
        <w:tc>
          <w:tcPr>
            <w:tcW w:w="1079" w:type="dxa"/>
          </w:tcPr>
          <w:p w14:paraId="64FD21CB">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index</w:t>
            </w:r>
          </w:p>
        </w:tc>
        <w:tc>
          <w:tcPr>
            <w:tcW w:w="2088" w:type="dxa"/>
          </w:tcPr>
          <w:p w14:paraId="1645B7DC">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variable name</w:t>
            </w:r>
          </w:p>
        </w:tc>
        <w:tc>
          <w:tcPr>
            <w:tcW w:w="2733" w:type="dxa"/>
          </w:tcPr>
          <w:p w14:paraId="35DD2CF3">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type</w:t>
            </w:r>
          </w:p>
        </w:tc>
        <w:tc>
          <w:tcPr>
            <w:tcW w:w="2622" w:type="dxa"/>
          </w:tcPr>
          <w:p w14:paraId="1B325570">
            <w:pPr>
              <w:spacing w:line="360" w:lineRule="auto"/>
              <w:rPr>
                <w:rFonts w:ascii="Times New Roman Regular" w:hAnsi="Times New Roman Regular" w:cs="Times New Roman Regular"/>
                <w:sz w:val="24"/>
              </w:rPr>
            </w:pPr>
            <w:r>
              <w:rPr>
                <w:rFonts w:hint="eastAsia" w:ascii="Times New Roman Regular" w:hAnsi="Times New Roman Regular" w:cs="Times New Roman Regular"/>
                <w:sz w:val="24"/>
              </w:rPr>
              <w:t>comment</w:t>
            </w:r>
          </w:p>
        </w:tc>
      </w:tr>
      <w:tr w14:paraId="100E1220">
        <w:tc>
          <w:tcPr>
            <w:tcW w:w="1079" w:type="dxa"/>
            <w:shd w:val="clear" w:color="auto" w:fill="auto"/>
          </w:tcPr>
          <w:p w14:paraId="3696D8BE">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w:t>
            </w:r>
          </w:p>
        </w:tc>
        <w:tc>
          <w:tcPr>
            <w:tcW w:w="2088" w:type="dxa"/>
          </w:tcPr>
          <w:p w14:paraId="06519144">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ohc_analysis</w:t>
            </w:r>
          </w:p>
        </w:tc>
        <w:tc>
          <w:tcPr>
            <w:tcW w:w="2733" w:type="dxa"/>
          </w:tcPr>
          <w:p w14:paraId="2600C6B9">
            <w:pPr>
              <w:spacing w:line="360" w:lineRule="auto"/>
              <w:rPr>
                <w:rFonts w:ascii="Times New Roman Regular" w:hAnsi="Times New Roman Regular" w:cs="Times New Roman Regular"/>
                <w:sz w:val="24"/>
              </w:rPr>
            </w:pPr>
            <w:r>
              <w:rPr>
                <w:rFonts w:ascii="Times New Roman Regular" w:hAnsi="Times New Roman Regular" w:cs="Times New Roman Regular"/>
                <w:sz w:val="24"/>
              </w:rPr>
              <w:t>119×360×180 double</w:t>
            </w:r>
          </w:p>
        </w:tc>
        <w:tc>
          <w:tcPr>
            <w:tcW w:w="2622" w:type="dxa"/>
          </w:tcPr>
          <w:p w14:paraId="7CE476E4">
            <w:pPr>
              <w:spacing w:line="360" w:lineRule="auto"/>
              <w:rPr>
                <w:rFonts w:ascii="Times New Roman Regular" w:hAnsi="Times New Roman Regular" w:cs="Times New Roman Regular"/>
                <w:sz w:val="24"/>
              </w:rPr>
            </w:pPr>
          </w:p>
        </w:tc>
      </w:tr>
    </w:tbl>
    <w:p w14:paraId="6578400D">
      <w:pPr>
        <w:spacing w:line="360" w:lineRule="auto"/>
        <w:rPr>
          <w:rFonts w:ascii="Times New Roman Regular" w:hAnsi="Times New Roman Regular" w:cs="Times New Roman Regular"/>
        </w:rPr>
      </w:pPr>
    </w:p>
    <w:p w14:paraId="67B9ADD7">
      <w:pPr>
        <w:pStyle w:val="3"/>
        <w:spacing w:before="0" w:after="0"/>
        <w:rPr>
          <w:rFonts w:ascii="Times New Roman Regular" w:hAnsi="Times New Roman Regular" w:cs="Times New Roman Regular"/>
          <w:sz w:val="24"/>
        </w:rPr>
      </w:pPr>
      <w:r>
        <w:rPr>
          <w:rFonts w:ascii="Times New Roman Regular" w:hAnsi="Times New Roman Regular" w:cs="Times New Roman Regular"/>
          <w:sz w:val="24"/>
        </w:rPr>
        <w:t>参考文件（Reference）</w:t>
      </w:r>
    </w:p>
    <w:p w14:paraId="2854ADB5">
      <w:pPr>
        <w:pStyle w:val="17"/>
        <w:spacing w:line="360" w:lineRule="auto"/>
        <w:rPr>
          <w:rFonts w:ascii="Times New Roman Regular" w:hAnsi="Times New Roman Regular" w:cs="Times New Roman Regular"/>
        </w:rPr>
      </w:pPr>
      <w:r>
        <w:rPr>
          <w:rFonts w:ascii="Times New Roman Regular" w:hAnsi="Times New Roman Regular" w:cs="Times New Roman Regular"/>
        </w:rPr>
        <w:t>[1] Garcia, H. E., Zweig, W. J., Bouchard, C., Cross, S. L., Paver, C. R., Reagan, J. R., Boyer, T. P., Locarnini, R. A., Mishonov, A. V., Baranova, O. K., et al. *World Ocean Atlas 2023, Volume 3: Dissolved Oxygen, Apparent Oxygen Utilization, Dissolved Oxygen Saturation, and 30-Year Climate Normals*. (NOAA Atlas NESDIS 91, Silver Spring, MD, 2024).</w:t>
      </w:r>
    </w:p>
    <w:p w14:paraId="71B16A5B">
      <w:pPr>
        <w:pStyle w:val="17"/>
        <w:spacing w:line="360" w:lineRule="auto"/>
        <w:rPr>
          <w:rFonts w:ascii="Times New Roman Regular" w:hAnsi="Times New Roman Regular" w:cs="Times New Roman Regular"/>
        </w:rPr>
      </w:pPr>
      <w:r>
        <w:rPr>
          <w:rFonts w:ascii="Times New Roman Regular" w:hAnsi="Times New Roman Regular" w:cs="Times New Roman Regular"/>
        </w:rPr>
        <w:t>[2] Cheng, L.</w:t>
      </w:r>
      <w:r>
        <w:rPr>
          <w:rFonts w:ascii="Times New Roman Regular" w:hAnsi="Times New Roman Regular" w:cs="Times New Roman Regular"/>
          <w:i/>
        </w:rPr>
        <w:t xml:space="preserve"> et al.</w:t>
      </w:r>
      <w:r>
        <w:rPr>
          <w:rFonts w:ascii="Times New Roman Regular" w:hAnsi="Times New Roman Regular" w:cs="Times New Roman Regular"/>
        </w:rPr>
        <w:t xml:space="preserve"> IAPv4 ocean temperature and ocean heat content gridded dataset. </w:t>
      </w:r>
      <w:r>
        <w:rPr>
          <w:rFonts w:ascii="Times New Roman Regular" w:hAnsi="Times New Roman Regular" w:cs="Times New Roman Regular"/>
          <w:i/>
        </w:rPr>
        <w:t>Earth Syst. Sci. Data</w:t>
      </w:r>
      <w:r>
        <w:rPr>
          <w:rFonts w:ascii="Times New Roman Regular" w:hAnsi="Times New Roman Regular" w:cs="Times New Roman Regular"/>
        </w:rPr>
        <w:t xml:space="preserve"> </w:t>
      </w:r>
      <w:r>
        <w:rPr>
          <w:rFonts w:ascii="Times New Roman Regular" w:hAnsi="Times New Roman Regular" w:cs="Times New Roman Regular"/>
          <w:b/>
        </w:rPr>
        <w:t>16</w:t>
      </w:r>
      <w:r>
        <w:rPr>
          <w:rFonts w:ascii="Times New Roman Regular" w:hAnsi="Times New Roman Regular" w:cs="Times New Roman Regular"/>
        </w:rPr>
        <w:t>, 3517-3546 (2024).</w:t>
      </w:r>
    </w:p>
    <w:p w14:paraId="5749EBBA">
      <w:pPr>
        <w:pStyle w:val="17"/>
        <w:spacing w:line="360" w:lineRule="auto"/>
        <w:rPr>
          <w:rStyle w:val="15"/>
          <w:rFonts w:ascii="Times New Roman Regular" w:hAnsi="Times New Roman Regular" w:cs="Times New Roman Regular" w:eastAsiaTheme="minorEastAsia"/>
          <w:sz w:val="24"/>
          <w:szCs w:val="24"/>
        </w:rPr>
      </w:pPr>
      <w:r>
        <w:rPr>
          <w:rFonts w:ascii="Times New Roman Regular" w:hAnsi="Times New Roman Regular" w:cs="Times New Roman Regular"/>
        </w:rPr>
        <w:t xml:space="preserve">[3] Gouretski, V. World Ocean Circulation Experiment-Argo Global Hydrographic Climatology. </w:t>
      </w:r>
      <w:r>
        <w:rPr>
          <w:rFonts w:ascii="Times New Roman Regular" w:hAnsi="Times New Roman Regular" w:cs="Times New Roman Regular"/>
          <w:i/>
        </w:rPr>
        <w:t>Ocean Sci.</w:t>
      </w:r>
      <w:r>
        <w:rPr>
          <w:rFonts w:ascii="Times New Roman Regular" w:hAnsi="Times New Roman Regular" w:cs="Times New Roman Regular"/>
        </w:rPr>
        <w:t xml:space="preserve"> </w:t>
      </w:r>
      <w:r>
        <w:rPr>
          <w:rFonts w:ascii="Times New Roman Regular" w:hAnsi="Times New Roman Regular" w:cs="Times New Roman Regular"/>
          <w:b/>
        </w:rPr>
        <w:t>14</w:t>
      </w:r>
      <w:r>
        <w:rPr>
          <w:rFonts w:ascii="Times New Roman Regular" w:hAnsi="Times New Roman Regular" w:cs="Times New Roman Regular"/>
        </w:rPr>
        <w:t>, 1127-1146 (2018).</w:t>
      </w:r>
    </w:p>
    <w:p w14:paraId="5AD122B4">
      <w:pPr>
        <w:spacing w:line="360" w:lineRule="auto"/>
        <w:ind w:hanging="7"/>
        <w:rPr>
          <w:rFonts w:ascii="Times New Roman Regular" w:hAnsi="Times New Roman Regular" w:eastAsia="DengXian" w:cs="Times New Roman Regular"/>
          <w:sz w:val="24"/>
        </w:rPr>
      </w:pPr>
      <w:r>
        <w:rPr>
          <w:rFonts w:ascii="Times New Roman Regular" w:hAnsi="Times New Roman Regular" w:eastAsia="DengXian" w:cs="Times New Roman Regular"/>
          <w:sz w:val="24"/>
        </w:rPr>
        <w:t xml:space="preserve">[4] </w:t>
      </w:r>
      <w:r>
        <w:rPr>
          <w:rFonts w:ascii="Times New Roman Regular" w:hAnsi="Times New Roman Regular" w:cs="Times New Roman Regular"/>
          <w:sz w:val="24"/>
        </w:rPr>
        <w:t xml:space="preserve">Cheng, L., Zhu, J., Cowley, R., Boyer, T. &amp; Wijffels, S. Time, probe type, and temperature variable bias corrections to historical expendable bathythermograph observations. </w:t>
      </w:r>
      <w:r>
        <w:rPr>
          <w:rFonts w:ascii="Times New Roman Regular" w:hAnsi="Times New Roman Regular" w:cs="Times New Roman Regular"/>
          <w:i/>
          <w:sz w:val="24"/>
        </w:rPr>
        <w:t>J. Atmos. Ocean. Technol.</w:t>
      </w:r>
      <w:r>
        <w:rPr>
          <w:rFonts w:ascii="Times New Roman Regular" w:hAnsi="Times New Roman Regular" w:cs="Times New Roman Regular"/>
          <w:sz w:val="24"/>
        </w:rPr>
        <w:t xml:space="preserve"> </w:t>
      </w:r>
      <w:r>
        <w:rPr>
          <w:rFonts w:ascii="Times New Roman Regular" w:hAnsi="Times New Roman Regular" w:cs="Times New Roman Regular"/>
          <w:b/>
          <w:sz w:val="24"/>
        </w:rPr>
        <w:t>31</w:t>
      </w:r>
      <w:r>
        <w:rPr>
          <w:rFonts w:ascii="Times New Roman Regular" w:hAnsi="Times New Roman Regular" w:cs="Times New Roman Regular"/>
          <w:sz w:val="24"/>
        </w:rPr>
        <w:t>, 1793-1825 (2014).</w:t>
      </w:r>
      <w:r>
        <w:rPr>
          <w:rFonts w:ascii="Times New Roman Regular" w:hAnsi="Times New Roman Regular" w:eastAsia="DengXian" w:cs="Times New Roman Regular"/>
          <w:sz w:val="24"/>
        </w:rPr>
        <w:t>.</w:t>
      </w:r>
    </w:p>
    <w:p w14:paraId="4F3F54B0">
      <w:pPr>
        <w:spacing w:line="360" w:lineRule="auto"/>
        <w:ind w:hanging="7"/>
        <w:rPr>
          <w:rFonts w:ascii="Times New Roman Regular" w:hAnsi="Times New Roman Regular" w:eastAsia="DengXian" w:cs="Times New Roman Regular"/>
          <w:sz w:val="24"/>
        </w:rPr>
      </w:pPr>
      <w:r>
        <w:rPr>
          <w:rFonts w:ascii="Times New Roman Regular" w:hAnsi="Times New Roman Regular" w:eastAsia="DengXian" w:cs="Times New Roman Regular"/>
          <w:sz w:val="24"/>
        </w:rPr>
        <w:t>[5] I</w:t>
      </w:r>
      <w:r>
        <w:rPr>
          <w:rFonts w:ascii="Times New Roman Regular" w:hAnsi="Times New Roman Regular" w:cs="Times New Roman Regular"/>
          <w:sz w:val="24"/>
        </w:rPr>
        <w:t xml:space="preserve">Ishii, M. &amp; Kimoto, M. Reevaluation of historical ocean heat content variations with time-varying XBT and MBT depth bias corrections. </w:t>
      </w:r>
      <w:r>
        <w:rPr>
          <w:rFonts w:ascii="Times New Roman Regular" w:hAnsi="Times New Roman Regular" w:cs="Times New Roman Regular"/>
          <w:i/>
          <w:sz w:val="24"/>
        </w:rPr>
        <w:t>J. Oceanogr.</w:t>
      </w:r>
      <w:r>
        <w:rPr>
          <w:rFonts w:ascii="Times New Roman Regular" w:hAnsi="Times New Roman Regular" w:cs="Times New Roman Regular"/>
          <w:sz w:val="24"/>
        </w:rPr>
        <w:t xml:space="preserve"> </w:t>
      </w:r>
      <w:r>
        <w:rPr>
          <w:rFonts w:ascii="Times New Roman Regular" w:hAnsi="Times New Roman Regular" w:cs="Times New Roman Regular"/>
          <w:b/>
          <w:sz w:val="24"/>
        </w:rPr>
        <w:t>65</w:t>
      </w:r>
      <w:r>
        <w:rPr>
          <w:rFonts w:ascii="Times New Roman Regular" w:hAnsi="Times New Roman Regular" w:cs="Times New Roman Regular"/>
          <w:sz w:val="24"/>
        </w:rPr>
        <w:t>, 287-299 (2009)</w:t>
      </w:r>
      <w:r>
        <w:rPr>
          <w:rFonts w:ascii="Times New Roman Regular" w:hAnsi="Times New Roman Regular" w:eastAsia="DengXian" w:cs="Times New Roman Regular"/>
          <w:sz w:val="24"/>
        </w:rPr>
        <w:t>.</w:t>
      </w:r>
    </w:p>
    <w:p w14:paraId="7C4B24B5">
      <w:pPr>
        <w:spacing w:line="360" w:lineRule="auto"/>
        <w:ind w:hanging="7"/>
        <w:rPr>
          <w:rFonts w:ascii="Times New Roman Regular" w:hAnsi="Times New Roman Regular" w:eastAsia="DengXian" w:cs="Times New Roman Regular"/>
          <w:sz w:val="24"/>
        </w:rPr>
      </w:pPr>
      <w:r>
        <w:rPr>
          <w:rFonts w:ascii="Times New Roman Regular" w:hAnsi="Times New Roman Regular" w:eastAsia="DengXian" w:cs="Times New Roman Regular"/>
          <w:sz w:val="24"/>
        </w:rPr>
        <w:t xml:space="preserve">[6] </w:t>
      </w:r>
      <w:r>
        <w:rPr>
          <w:rFonts w:ascii="Times New Roman Regular" w:hAnsi="Times New Roman Regular" w:cs="Times New Roman Regular"/>
          <w:sz w:val="24"/>
        </w:rPr>
        <w:t xml:space="preserve">Gouretski, V. &amp; Reseghetti, F. On depth and temperature biases in bathythermograph data: development of a new correction scheme based on analysis of a global ocean database. </w:t>
      </w:r>
      <w:r>
        <w:rPr>
          <w:rFonts w:ascii="Times New Roman Regular" w:hAnsi="Times New Roman Regular" w:cs="Times New Roman Regular"/>
          <w:i/>
          <w:sz w:val="24"/>
        </w:rPr>
        <w:t>J. Atmos. Ocean. Technol.</w:t>
      </w:r>
      <w:r>
        <w:rPr>
          <w:rFonts w:ascii="Times New Roman Regular" w:hAnsi="Times New Roman Regular" w:cs="Times New Roman Regular"/>
          <w:sz w:val="24"/>
        </w:rPr>
        <w:t xml:space="preserve"> </w:t>
      </w:r>
      <w:r>
        <w:rPr>
          <w:rFonts w:ascii="Times New Roman Regular" w:hAnsi="Times New Roman Regular" w:cs="Times New Roman Regular"/>
          <w:b/>
          <w:sz w:val="24"/>
        </w:rPr>
        <w:t>57</w:t>
      </w:r>
      <w:r>
        <w:rPr>
          <w:rFonts w:ascii="Times New Roman Regular" w:hAnsi="Times New Roman Regular" w:cs="Times New Roman Regular"/>
          <w:sz w:val="24"/>
        </w:rPr>
        <w:t>, 812-833 (2010)</w:t>
      </w:r>
      <w:r>
        <w:rPr>
          <w:rFonts w:ascii="Times New Roman Regular" w:hAnsi="Times New Roman Regular" w:eastAsia="DengXian" w:cs="Times New Roman Regular"/>
          <w:sz w:val="24"/>
        </w:rPr>
        <w:t>.</w:t>
      </w:r>
    </w:p>
    <w:p w14:paraId="287FB29A">
      <w:pPr>
        <w:pStyle w:val="17"/>
        <w:spacing w:line="360" w:lineRule="auto"/>
        <w:rPr>
          <w:rFonts w:ascii="Times New Roman Regular" w:hAnsi="Times New Roman Regular" w:cs="Times New Roman Regular"/>
          <w:color w:val="000000" w:themeColor="text1"/>
          <w14:textFill>
            <w14:solidFill>
              <w14:schemeClr w14:val="tx1"/>
            </w14:solidFill>
          </w14:textFill>
        </w:rPr>
      </w:pPr>
      <w:r>
        <w:rPr>
          <w:rFonts w:ascii="Times New Roman Regular" w:hAnsi="Times New Roman Regular" w:cs="Times New Roman Regular"/>
        </w:rPr>
        <w:t xml:space="preserve">[7] Reiniger, R. F. &amp; Ross, C. K. A method of interpolation with application to oceanographic data. </w:t>
      </w:r>
      <w:r>
        <w:rPr>
          <w:rFonts w:ascii="Times New Roman Regular" w:hAnsi="Times New Roman Regular" w:cs="Times New Roman Regular"/>
          <w:i/>
        </w:rPr>
        <w:t>Deep Sea Res. Oceanogr. Abstr.</w:t>
      </w:r>
      <w:r>
        <w:rPr>
          <w:rFonts w:ascii="Times New Roman Regular" w:hAnsi="Times New Roman Regular" w:cs="Times New Roman Regular"/>
        </w:rPr>
        <w:t xml:space="preserve"> </w:t>
      </w:r>
      <w:r>
        <w:rPr>
          <w:rFonts w:ascii="Times New Roman Regular" w:hAnsi="Times New Roman Regular" w:cs="Times New Roman Regular"/>
          <w:b/>
        </w:rPr>
        <w:t>15</w:t>
      </w:r>
      <w:r>
        <w:rPr>
          <w:rFonts w:ascii="Times New Roman Regular" w:hAnsi="Times New Roman Regular" w:cs="Times New Roman Regular"/>
        </w:rPr>
        <w:t>, 185-193 (1968).</w:t>
      </w:r>
    </w:p>
    <w:p w14:paraId="10DCE49C">
      <w:pPr>
        <w:spacing w:line="360" w:lineRule="auto"/>
        <w:rPr>
          <w:rFonts w:ascii="Times New Roman Regular" w:hAnsi="Times New Roman Regular" w:eastAsia="DengXian" w:cs="Times New Roman Regular"/>
          <w:sz w:val="24"/>
        </w:rPr>
      </w:pPr>
      <w:r>
        <w:rPr>
          <w:rFonts w:ascii="Times New Roman Regular" w:hAnsi="Times New Roman Regular" w:eastAsia="DengXian" w:cs="Times New Roman Regular"/>
          <w:sz w:val="24"/>
        </w:rPr>
        <w:t xml:space="preserve">[8] </w:t>
      </w:r>
      <w:r>
        <w:rPr>
          <w:rFonts w:ascii="Times New Roman Regular" w:hAnsi="Times New Roman Regular" w:cs="Times New Roman Regular"/>
          <w:sz w:val="24"/>
        </w:rPr>
        <w:t xml:space="preserve">Barker, P. M. &amp; McDougall, T. J. Two interpolation methods using multiply-rotated piecewise cubic Hermite interpolating polynomials. </w:t>
      </w:r>
      <w:r>
        <w:rPr>
          <w:rFonts w:ascii="Times New Roman Regular" w:hAnsi="Times New Roman Regular" w:cs="Times New Roman Regular"/>
          <w:i/>
          <w:sz w:val="24"/>
        </w:rPr>
        <w:t>J. Atmos. Ocean, Technol.</w:t>
      </w:r>
      <w:r>
        <w:rPr>
          <w:rFonts w:ascii="Times New Roman Regular" w:hAnsi="Times New Roman Regular" w:cs="Times New Roman Regular"/>
          <w:sz w:val="24"/>
        </w:rPr>
        <w:t xml:space="preserve"> </w:t>
      </w:r>
      <w:r>
        <w:rPr>
          <w:rFonts w:ascii="Times New Roman Regular" w:hAnsi="Times New Roman Regular" w:cs="Times New Roman Regular"/>
          <w:b/>
          <w:sz w:val="24"/>
        </w:rPr>
        <w:t>37</w:t>
      </w:r>
      <w:r>
        <w:rPr>
          <w:rFonts w:ascii="Times New Roman Regular" w:hAnsi="Times New Roman Regular" w:cs="Times New Roman Regular"/>
          <w:sz w:val="24"/>
        </w:rPr>
        <w:t>, 605-619 (2020)</w:t>
      </w:r>
      <w:r>
        <w:rPr>
          <w:rFonts w:ascii="Times New Roman Regular" w:hAnsi="Times New Roman Regular" w:eastAsia="DengXian" w:cs="Times New Roman Regular"/>
          <w:sz w:val="24"/>
        </w:rPr>
        <w:t>.</w:t>
      </w:r>
    </w:p>
    <w:p w14:paraId="07E7BD5B">
      <w:pPr>
        <w:spacing w:line="360" w:lineRule="auto"/>
        <w:ind w:hanging="7"/>
        <w:rPr>
          <w:rFonts w:ascii="Times New Roman Regular" w:hAnsi="Times New Roman Regular" w:eastAsia="DengXian" w:cs="Times New Roman Regular"/>
          <w:sz w:val="24"/>
        </w:rPr>
      </w:pPr>
      <w:r>
        <w:rPr>
          <w:rFonts w:ascii="Times New Roman Regular" w:hAnsi="Times New Roman Regular" w:eastAsia="DengXian" w:cs="Times New Roman Regular"/>
          <w:sz w:val="24"/>
        </w:rPr>
        <w:t xml:space="preserve">[9] </w:t>
      </w:r>
      <w:r>
        <w:rPr>
          <w:rFonts w:ascii="Times New Roman Regular" w:hAnsi="Times New Roman Regular" w:cs="Times New Roman Regular"/>
          <w:sz w:val="24"/>
        </w:rPr>
        <w:t>Tan, Z., Cheng, L., Gouretski, V., Liu, C. &amp; Zhu, J</w:t>
      </w:r>
      <w:r>
        <w:rPr>
          <w:rFonts w:ascii="Times New Roman Regular" w:hAnsi="Times New Roman Regular" w:cs="Times New Roman Regular"/>
          <w:i/>
          <w:sz w:val="24"/>
        </w:rPr>
        <w:t>.</w:t>
      </w:r>
      <w:r>
        <w:rPr>
          <w:rFonts w:ascii="Times New Roman Regular" w:hAnsi="Times New Roman Regular" w:cs="Times New Roman Regular"/>
          <w:sz w:val="24"/>
        </w:rPr>
        <w:t xml:space="preserve"> A new automatic quality control system for ocean profile observations and impact on ocean warming estimate. </w:t>
      </w:r>
      <w:r>
        <w:rPr>
          <w:rFonts w:ascii="Times New Roman Regular" w:hAnsi="Times New Roman Regular" w:cs="Times New Roman Regular"/>
          <w:i/>
          <w:sz w:val="24"/>
        </w:rPr>
        <w:t>Deep Sea Rese. Part I: Oceanogr. Res. Pap.</w:t>
      </w:r>
      <w:r>
        <w:rPr>
          <w:rFonts w:ascii="Times New Roman Regular" w:hAnsi="Times New Roman Regular" w:cs="Times New Roman Regular"/>
          <w:sz w:val="24"/>
        </w:rPr>
        <w:t xml:space="preserve"> </w:t>
      </w:r>
      <w:r>
        <w:rPr>
          <w:rFonts w:ascii="Times New Roman Regular" w:hAnsi="Times New Roman Regular" w:cs="Times New Roman Regular"/>
          <w:b/>
          <w:sz w:val="24"/>
        </w:rPr>
        <w:t>194</w:t>
      </w:r>
      <w:r>
        <w:rPr>
          <w:rFonts w:ascii="Times New Roman Regular" w:hAnsi="Times New Roman Regular" w:cs="Times New Roman Regular"/>
          <w:sz w:val="24"/>
        </w:rPr>
        <w:t>, 103961 (2023)</w:t>
      </w:r>
      <w:r>
        <w:rPr>
          <w:rFonts w:ascii="Times New Roman Regular" w:hAnsi="Times New Roman Regular" w:eastAsia="DengXian" w:cs="Times New Roman Regular"/>
          <w:sz w:val="24"/>
        </w:rPr>
        <w:t>.</w:t>
      </w:r>
    </w:p>
    <w:p w14:paraId="24CC25BD">
      <w:pPr>
        <w:spacing w:line="360" w:lineRule="auto"/>
        <w:ind w:hanging="7"/>
        <w:rPr>
          <w:rFonts w:ascii="Times New Roman Regular" w:hAnsi="Times New Roman Regular" w:eastAsia="DengXian" w:cs="Times New Roman Regular"/>
          <w:sz w:val="24"/>
        </w:rPr>
      </w:pPr>
      <w:r>
        <w:rPr>
          <w:rFonts w:ascii="Times New Roman Regular" w:hAnsi="Times New Roman Regular" w:eastAsia="DengXian" w:cs="Times New Roman Regular"/>
          <w:sz w:val="24"/>
        </w:rPr>
        <w:t xml:space="preserve">[10] </w:t>
      </w:r>
      <w:r>
        <w:rPr>
          <w:rFonts w:ascii="Times New Roman Regular" w:hAnsi="Times New Roman Regular" w:cs="Times New Roman Regular"/>
          <w:sz w:val="24"/>
        </w:rPr>
        <w:t xml:space="preserve">Gouretski, V., Cheng, L. &amp; Boyer, T. On the consistency of the bottle and CTD profile data. </w:t>
      </w:r>
      <w:r>
        <w:rPr>
          <w:rFonts w:ascii="Times New Roman Regular" w:hAnsi="Times New Roman Regular" w:cs="Times New Roman Regular"/>
          <w:i/>
          <w:sz w:val="24"/>
        </w:rPr>
        <w:t>J. Atmos. Ocean. Technol.</w:t>
      </w:r>
      <w:r>
        <w:rPr>
          <w:rFonts w:ascii="Times New Roman Regular" w:hAnsi="Times New Roman Regular" w:cs="Times New Roman Regular"/>
          <w:sz w:val="24"/>
        </w:rPr>
        <w:t xml:space="preserve"> </w:t>
      </w:r>
      <w:r>
        <w:rPr>
          <w:rFonts w:ascii="Times New Roman Regular" w:hAnsi="Times New Roman Regular" w:cs="Times New Roman Regular"/>
          <w:b/>
          <w:sz w:val="24"/>
        </w:rPr>
        <w:t>39</w:t>
      </w:r>
      <w:r>
        <w:rPr>
          <w:rFonts w:ascii="Times New Roman Regular" w:hAnsi="Times New Roman Regular" w:cs="Times New Roman Regular"/>
          <w:sz w:val="24"/>
        </w:rPr>
        <w:t>, 1869-1887 (2022)</w:t>
      </w:r>
      <w:r>
        <w:rPr>
          <w:rFonts w:ascii="Times New Roman Regular" w:hAnsi="Times New Roman Regular" w:eastAsia="DengXian" w:cs="Times New Roman Regular"/>
          <w:sz w:val="24"/>
        </w:rPr>
        <w:t>.</w:t>
      </w:r>
    </w:p>
    <w:p w14:paraId="70F40CB0">
      <w:pPr>
        <w:spacing w:line="360" w:lineRule="auto"/>
        <w:ind w:hanging="7"/>
        <w:rPr>
          <w:rFonts w:ascii="Times New Roman Regular" w:hAnsi="Times New Roman Regular" w:eastAsia="DengXian" w:cs="Times New Roman Regular"/>
          <w:sz w:val="24"/>
        </w:rPr>
      </w:pPr>
      <w:r>
        <w:rPr>
          <w:rFonts w:ascii="Times New Roman Regular" w:hAnsi="Times New Roman Regular" w:eastAsia="DengXian" w:cs="Times New Roman Regular"/>
          <w:sz w:val="24"/>
        </w:rPr>
        <w:t xml:space="preserve">[11] </w:t>
      </w:r>
      <w:r>
        <w:rPr>
          <w:rFonts w:ascii="Times New Roman Regular" w:hAnsi="Times New Roman Regular" w:cs="Times New Roman Regular"/>
          <w:sz w:val="24"/>
        </w:rPr>
        <w:t xml:space="preserve">Gouretski, V., Roquet, F. &amp; Cheng, L. Measurement biases in ocean temperature profiles from marine mammal data loggers. </w:t>
      </w:r>
      <w:r>
        <w:rPr>
          <w:rFonts w:ascii="Times New Roman Regular" w:hAnsi="Times New Roman Regular" w:cs="Times New Roman Regular"/>
          <w:i/>
          <w:sz w:val="24"/>
        </w:rPr>
        <w:t>J. Atmos. Ocean. Technol.</w:t>
      </w:r>
      <w:r>
        <w:rPr>
          <w:rFonts w:ascii="Times New Roman Regular" w:hAnsi="Times New Roman Regular" w:cs="Times New Roman Regular"/>
          <w:sz w:val="24"/>
        </w:rPr>
        <w:t xml:space="preserve"> </w:t>
      </w:r>
      <w:r>
        <w:rPr>
          <w:rFonts w:ascii="Times New Roman Regular" w:hAnsi="Times New Roman Regular" w:cs="Times New Roman Regular"/>
          <w:b/>
          <w:sz w:val="24"/>
        </w:rPr>
        <w:t>41</w:t>
      </w:r>
      <w:r>
        <w:rPr>
          <w:rFonts w:ascii="Times New Roman Regular" w:hAnsi="Times New Roman Regular" w:cs="Times New Roman Regular"/>
          <w:bCs/>
          <w:sz w:val="24"/>
        </w:rPr>
        <w:t>, 629-645</w:t>
      </w:r>
      <w:r>
        <w:rPr>
          <w:rFonts w:ascii="Times New Roman Regular" w:hAnsi="Times New Roman Regular" w:cs="Times New Roman Regular"/>
          <w:b/>
          <w:sz w:val="24"/>
        </w:rPr>
        <w:t xml:space="preserve"> </w:t>
      </w:r>
      <w:r>
        <w:rPr>
          <w:rFonts w:ascii="Times New Roman Regular" w:hAnsi="Times New Roman Regular" w:cs="Times New Roman Regular"/>
          <w:sz w:val="24"/>
        </w:rPr>
        <w:t>(2023)</w:t>
      </w:r>
      <w:r>
        <w:rPr>
          <w:rFonts w:ascii="Times New Roman Regular" w:hAnsi="Times New Roman Regular" w:eastAsia="DengXian" w:cs="Times New Roman Regular"/>
          <w:sz w:val="24"/>
        </w:rPr>
        <w:t>.</w:t>
      </w:r>
    </w:p>
    <w:p w14:paraId="0CF97F3C">
      <w:pPr>
        <w:spacing w:line="360" w:lineRule="auto"/>
        <w:rPr>
          <w:rFonts w:ascii="Times New Roman Regular" w:hAnsi="Times New Roman Regular" w:eastAsia="DengXian" w:cs="Times New Roman Regular"/>
          <w:sz w:val="24"/>
        </w:rPr>
      </w:pPr>
      <w:r>
        <w:rPr>
          <w:rFonts w:ascii="Times New Roman Regular" w:hAnsi="Times New Roman Regular" w:eastAsia="DengXian" w:cs="Times New Roman Regular"/>
          <w:sz w:val="24"/>
        </w:rPr>
        <w:t xml:space="preserve">[11] </w:t>
      </w:r>
      <w:r>
        <w:rPr>
          <w:rFonts w:ascii="Times New Roman Regular" w:hAnsi="Times New Roman Regular" w:cs="Times New Roman Regular"/>
          <w:sz w:val="24"/>
        </w:rPr>
        <w:t xml:space="preserve">Gouretski, V. &amp; Cheng, L. Correction for systematic errors in the global dataset of temperature profiles from mechanical bathythermographs. </w:t>
      </w:r>
      <w:r>
        <w:rPr>
          <w:rFonts w:ascii="Times New Roman Regular" w:hAnsi="Times New Roman Regular" w:cs="Times New Roman Regular"/>
          <w:i/>
          <w:sz w:val="24"/>
        </w:rPr>
        <w:t>J. Atmos. Ocean. Technol.</w:t>
      </w:r>
      <w:r>
        <w:rPr>
          <w:rFonts w:ascii="Times New Roman Regular" w:hAnsi="Times New Roman Regular" w:cs="Times New Roman Regular"/>
          <w:sz w:val="24"/>
        </w:rPr>
        <w:t xml:space="preserve"> </w:t>
      </w:r>
      <w:r>
        <w:rPr>
          <w:rFonts w:ascii="Times New Roman Regular" w:hAnsi="Times New Roman Regular" w:cs="Times New Roman Regular"/>
          <w:b/>
          <w:sz w:val="24"/>
        </w:rPr>
        <w:t>37</w:t>
      </w:r>
      <w:r>
        <w:rPr>
          <w:rFonts w:ascii="Times New Roman Regular" w:hAnsi="Times New Roman Regular" w:cs="Times New Roman Regular"/>
          <w:sz w:val="24"/>
        </w:rPr>
        <w:t>, 841-855 (2020)</w:t>
      </w:r>
      <w:r>
        <w:rPr>
          <w:rFonts w:ascii="Times New Roman Regular" w:hAnsi="Times New Roman Regular" w:eastAsia="DengXian" w:cs="Times New Roman Regular"/>
          <w:sz w:val="24"/>
        </w:rPr>
        <w:t>.</w:t>
      </w:r>
    </w:p>
    <w:p w14:paraId="529E0108">
      <w:pPr>
        <w:pStyle w:val="17"/>
        <w:spacing w:line="360" w:lineRule="auto"/>
        <w:rPr>
          <w:rFonts w:ascii="Times New Roman Regular" w:hAnsi="Times New Roman Regular" w:cs="Times New Roman Regular"/>
        </w:rPr>
      </w:pPr>
      <w:r>
        <w:rPr>
          <w:rFonts w:ascii="Times New Roman Regular" w:hAnsi="Times New Roman Regular" w:cs="Times New Roman Regular"/>
        </w:rPr>
        <w:t xml:space="preserve">[12] Gouretski, V. &amp; Reseghetti, F. On depth and temperature biases in bathythermograph data: development of a new correction scheme based on analysis of a global ocean database. </w:t>
      </w:r>
      <w:r>
        <w:rPr>
          <w:rFonts w:ascii="Times New Roman Regular" w:hAnsi="Times New Roman Regular" w:cs="Times New Roman Regular"/>
          <w:i/>
        </w:rPr>
        <w:t>J. Atmos. Ocean. Technol.</w:t>
      </w:r>
      <w:r>
        <w:rPr>
          <w:rFonts w:ascii="Times New Roman Regular" w:hAnsi="Times New Roman Regular" w:cs="Times New Roman Regular"/>
        </w:rPr>
        <w:t xml:space="preserve"> </w:t>
      </w:r>
      <w:r>
        <w:rPr>
          <w:rFonts w:ascii="Times New Roman Regular" w:hAnsi="Times New Roman Regular" w:cs="Times New Roman Regular"/>
          <w:b/>
        </w:rPr>
        <w:t>57</w:t>
      </w:r>
      <w:r>
        <w:rPr>
          <w:rFonts w:ascii="Times New Roman Regular" w:hAnsi="Times New Roman Regular" w:cs="Times New Roman Regular"/>
        </w:rPr>
        <w:t>, 812-833 (2010).</w:t>
      </w:r>
    </w:p>
    <w:p w14:paraId="782AC705">
      <w:pPr>
        <w:pStyle w:val="17"/>
        <w:spacing w:line="360" w:lineRule="auto"/>
        <w:rPr>
          <w:rFonts w:ascii="Times New Roman Regular" w:hAnsi="Times New Roman Regular" w:eastAsia="DengXian" w:cs="Times New Roman Regular"/>
        </w:rPr>
      </w:pPr>
      <w:r>
        <w:rPr>
          <w:rFonts w:hint="default" w:ascii="Times New Roman Regular" w:hAnsi="Times New Roman Regular" w:cs="Times New Roman Regular"/>
          <w:lang w:val="en-US" w:eastAsia="zh-CN"/>
        </w:rPr>
        <w:t xml:space="preserve">[13] </w:t>
      </w:r>
      <w:r>
        <w:rPr>
          <w:rFonts w:hint="default" w:ascii="Times New Roman Regular" w:hAnsi="Times New Roman Regular" w:eastAsia="DengXian" w:cs="Times New Roman Regular"/>
        </w:rPr>
        <w:t xml:space="preserve">Garcia, H. E. </w:t>
      </w:r>
      <w:r>
        <w:rPr>
          <w:rFonts w:hint="default" w:ascii="Times New Roman Italic" w:hAnsi="Times New Roman Italic" w:eastAsia="DengXian" w:cs="Times New Roman Italic"/>
          <w:i/>
          <w:iCs/>
        </w:rPr>
        <w:t>et al</w:t>
      </w:r>
      <w:r>
        <w:rPr>
          <w:rFonts w:hint="default" w:ascii="Times New Roman Regular" w:hAnsi="Times New Roman Regular" w:eastAsia="DengXian" w:cs="Times New Roman Regular"/>
        </w:rPr>
        <w:t>. World Ocean Database 2023: User’s Manual. NOAA Atlas NESDIS 98 (National Oceanic and Atmospheric Administration, 2024).</w:t>
      </w:r>
    </w:p>
    <w:p w14:paraId="78A55282">
      <w:pPr>
        <w:spacing w:line="360" w:lineRule="auto"/>
        <w:rPr>
          <w:rFonts w:ascii="Times New Roman Regular" w:hAnsi="Times New Roman Regular" w:cs="Times New Roman Regul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DengXian">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Times New Roman Regular">
    <w:panose1 w:val="02020503050405090304"/>
    <w:charset w:val="00"/>
    <w:family w:val="auto"/>
    <w:pitch w:val="default"/>
    <w:sig w:usb0="E0000AFF" w:usb1="00007843" w:usb2="00000001" w:usb3="00000000" w:csb0="400001BF" w:csb1="DFF70000"/>
  </w:font>
  <w:font w:name="Times New Roman Italic">
    <w:panose1 w:val="02020503050405090304"/>
    <w:charset w:val="00"/>
    <w:family w:val="auto"/>
    <w:pitch w:val="default"/>
    <w:sig w:usb0="E0000AFF" w:usb1="00007843" w:usb2="00000001" w:usb3="00000000" w:csb0="400001BF" w:csb1="DFF7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B574D6"/>
    <w:multiLevelType w:val="singleLevel"/>
    <w:tmpl w:val="A8B574D6"/>
    <w:lvl w:ilvl="0" w:tentative="0">
      <w:start w:val="1"/>
      <w:numFmt w:val="decimal"/>
      <w:suff w:val="space"/>
      <w:lvlText w:val="%1."/>
      <w:lvlJc w:val="left"/>
    </w:lvl>
  </w:abstractNum>
  <w:abstractNum w:abstractNumId="1">
    <w:nsid w:val="B7988AFC"/>
    <w:multiLevelType w:val="singleLevel"/>
    <w:tmpl w:val="B7988AFC"/>
    <w:lvl w:ilvl="0" w:tentative="0">
      <w:start w:val="1"/>
      <w:numFmt w:val="decimal"/>
      <w:suff w:val="space"/>
      <w:lvlText w:val="%1."/>
      <w:lvlJc w:val="left"/>
    </w:lvl>
  </w:abstractNum>
  <w:abstractNum w:abstractNumId="2">
    <w:nsid w:val="BFFC26C1"/>
    <w:multiLevelType w:val="singleLevel"/>
    <w:tmpl w:val="BFFC26C1"/>
    <w:lvl w:ilvl="0" w:tentative="0">
      <w:start w:val="1"/>
      <w:numFmt w:val="decimal"/>
      <w:suff w:val="space"/>
      <w:lvlText w:val="%1."/>
      <w:lvlJc w:val="left"/>
    </w:lvl>
  </w:abstractNum>
  <w:abstractNum w:abstractNumId="3">
    <w:nsid w:val="E765B942"/>
    <w:multiLevelType w:val="singleLevel"/>
    <w:tmpl w:val="E765B942"/>
    <w:lvl w:ilvl="0" w:tentative="0">
      <w:start w:val="1"/>
      <w:numFmt w:val="decimal"/>
      <w:suff w:val="space"/>
      <w:lvlText w:val="%1."/>
      <w:lvlJc w:val="left"/>
    </w:lvl>
  </w:abstractNum>
  <w:abstractNum w:abstractNumId="4">
    <w:nsid w:val="EF63DEC1"/>
    <w:multiLevelType w:val="singleLevel"/>
    <w:tmpl w:val="EF63DEC1"/>
    <w:lvl w:ilvl="0" w:tentative="0">
      <w:start w:val="1"/>
      <w:numFmt w:val="decimal"/>
      <w:suff w:val="space"/>
      <w:lvlText w:val="%1."/>
      <w:lvlJc w:val="left"/>
    </w:lvl>
  </w:abstractNum>
  <w:abstractNum w:abstractNumId="5">
    <w:nsid w:val="F78F9B52"/>
    <w:multiLevelType w:val="singleLevel"/>
    <w:tmpl w:val="F78F9B52"/>
    <w:lvl w:ilvl="0" w:tentative="0">
      <w:start w:val="1"/>
      <w:numFmt w:val="decimal"/>
      <w:suff w:val="space"/>
      <w:lvlText w:val="%1."/>
      <w:lvlJc w:val="left"/>
    </w:lvl>
  </w:abstractNum>
  <w:abstractNum w:abstractNumId="6">
    <w:nsid w:val="FF3D83DC"/>
    <w:multiLevelType w:val="singleLevel"/>
    <w:tmpl w:val="FF3D83DC"/>
    <w:lvl w:ilvl="0" w:tentative="0">
      <w:start w:val="1"/>
      <w:numFmt w:val="decimal"/>
      <w:suff w:val="space"/>
      <w:lvlText w:val="%1."/>
      <w:lvlJc w:val="left"/>
    </w:lvl>
  </w:abstractNum>
  <w:abstractNum w:abstractNumId="7">
    <w:nsid w:val="FFB6BEE8"/>
    <w:multiLevelType w:val="singleLevel"/>
    <w:tmpl w:val="FFB6BEE8"/>
    <w:lvl w:ilvl="0" w:tentative="0">
      <w:start w:val="1"/>
      <w:numFmt w:val="decimal"/>
      <w:suff w:val="space"/>
      <w:lvlText w:val="%1."/>
      <w:lvlJc w:val="left"/>
    </w:lvl>
  </w:abstractNum>
  <w:num w:numId="1">
    <w:abstractNumId w:val="4"/>
  </w:num>
  <w:num w:numId="2">
    <w:abstractNumId w:val="5"/>
  </w:num>
  <w:num w:numId="3">
    <w:abstractNumId w:val="7"/>
  </w:num>
  <w:num w:numId="4">
    <w:abstractNumId w:val="6"/>
  </w:num>
  <w:num w:numId="5">
    <w:abstractNumId w:val="3"/>
  </w:num>
  <w:num w:numId="6">
    <w:abstractNumId w:val="0"/>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1"/>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EF8FD9"/>
    <w:rsid w:val="000667E1"/>
    <w:rsid w:val="000711D5"/>
    <w:rsid w:val="000719BB"/>
    <w:rsid w:val="000B40EB"/>
    <w:rsid w:val="000D707F"/>
    <w:rsid w:val="0011096D"/>
    <w:rsid w:val="00155F9D"/>
    <w:rsid w:val="001658E3"/>
    <w:rsid w:val="00174E0A"/>
    <w:rsid w:val="00182FEB"/>
    <w:rsid w:val="001C23E6"/>
    <w:rsid w:val="00201CAB"/>
    <w:rsid w:val="00210DCD"/>
    <w:rsid w:val="00245647"/>
    <w:rsid w:val="00255025"/>
    <w:rsid w:val="002A43AB"/>
    <w:rsid w:val="00346713"/>
    <w:rsid w:val="003960C3"/>
    <w:rsid w:val="003C2604"/>
    <w:rsid w:val="003F5E46"/>
    <w:rsid w:val="00423681"/>
    <w:rsid w:val="00461592"/>
    <w:rsid w:val="004828AA"/>
    <w:rsid w:val="004944F1"/>
    <w:rsid w:val="004E1A91"/>
    <w:rsid w:val="004E3736"/>
    <w:rsid w:val="004E74B2"/>
    <w:rsid w:val="00512DE5"/>
    <w:rsid w:val="00526674"/>
    <w:rsid w:val="00556103"/>
    <w:rsid w:val="005C44D2"/>
    <w:rsid w:val="00620D9E"/>
    <w:rsid w:val="00624AB1"/>
    <w:rsid w:val="00652CCB"/>
    <w:rsid w:val="00670C82"/>
    <w:rsid w:val="006A4DAC"/>
    <w:rsid w:val="007126FC"/>
    <w:rsid w:val="007B33CB"/>
    <w:rsid w:val="007B5E70"/>
    <w:rsid w:val="00840DCD"/>
    <w:rsid w:val="00872813"/>
    <w:rsid w:val="00890909"/>
    <w:rsid w:val="008A1BF7"/>
    <w:rsid w:val="008A2DE0"/>
    <w:rsid w:val="008A5132"/>
    <w:rsid w:val="008A7952"/>
    <w:rsid w:val="008E77EF"/>
    <w:rsid w:val="00940493"/>
    <w:rsid w:val="009B11EF"/>
    <w:rsid w:val="009F7413"/>
    <w:rsid w:val="00A33A07"/>
    <w:rsid w:val="00A34C1C"/>
    <w:rsid w:val="00A50320"/>
    <w:rsid w:val="00AA514C"/>
    <w:rsid w:val="00AB7FD8"/>
    <w:rsid w:val="00AD745E"/>
    <w:rsid w:val="00AE39BB"/>
    <w:rsid w:val="00AE4270"/>
    <w:rsid w:val="00B06563"/>
    <w:rsid w:val="00BA286E"/>
    <w:rsid w:val="00BA54E4"/>
    <w:rsid w:val="00C07459"/>
    <w:rsid w:val="00C126E5"/>
    <w:rsid w:val="00C5241A"/>
    <w:rsid w:val="00C91330"/>
    <w:rsid w:val="00CA20A6"/>
    <w:rsid w:val="00CC4C61"/>
    <w:rsid w:val="00D06493"/>
    <w:rsid w:val="00D23E7B"/>
    <w:rsid w:val="00D45AFB"/>
    <w:rsid w:val="00DB6137"/>
    <w:rsid w:val="00DB72D8"/>
    <w:rsid w:val="00DD2DFF"/>
    <w:rsid w:val="00E107C7"/>
    <w:rsid w:val="00E66F79"/>
    <w:rsid w:val="00E96D7B"/>
    <w:rsid w:val="00F109CA"/>
    <w:rsid w:val="00F400ED"/>
    <w:rsid w:val="00F472C4"/>
    <w:rsid w:val="00F52116"/>
    <w:rsid w:val="00F70FA0"/>
    <w:rsid w:val="00F736DF"/>
    <w:rsid w:val="00F8052D"/>
    <w:rsid w:val="00FC73CD"/>
    <w:rsid w:val="07DF9EB7"/>
    <w:rsid w:val="07F2A14E"/>
    <w:rsid w:val="0E7FD275"/>
    <w:rsid w:val="0EE54A9F"/>
    <w:rsid w:val="0FFBCFE2"/>
    <w:rsid w:val="1B67B072"/>
    <w:rsid w:val="1EFF2869"/>
    <w:rsid w:val="1F4F32FF"/>
    <w:rsid w:val="1F6D4E66"/>
    <w:rsid w:val="1F7667D6"/>
    <w:rsid w:val="1F7BAE6F"/>
    <w:rsid w:val="1FEE9222"/>
    <w:rsid w:val="26DFB429"/>
    <w:rsid w:val="27EFFE15"/>
    <w:rsid w:val="2E4BE79D"/>
    <w:rsid w:val="2E6F2F73"/>
    <w:rsid w:val="2F3E063B"/>
    <w:rsid w:val="36BBBA5C"/>
    <w:rsid w:val="37CA7715"/>
    <w:rsid w:val="37EBB7DD"/>
    <w:rsid w:val="37FB0318"/>
    <w:rsid w:val="38EFA8DC"/>
    <w:rsid w:val="39F5ED31"/>
    <w:rsid w:val="3ABEB37E"/>
    <w:rsid w:val="3ADFC124"/>
    <w:rsid w:val="3BBB2BDA"/>
    <w:rsid w:val="3D575728"/>
    <w:rsid w:val="3DBB31DB"/>
    <w:rsid w:val="3DBF591F"/>
    <w:rsid w:val="3DE6719D"/>
    <w:rsid w:val="3DE7484A"/>
    <w:rsid w:val="3DE789E5"/>
    <w:rsid w:val="3E3D7B64"/>
    <w:rsid w:val="3E66959C"/>
    <w:rsid w:val="3E9AF99B"/>
    <w:rsid w:val="3EFB4629"/>
    <w:rsid w:val="3EFE7C57"/>
    <w:rsid w:val="3F7F7023"/>
    <w:rsid w:val="3FC4E681"/>
    <w:rsid w:val="3FEF5CCB"/>
    <w:rsid w:val="3FF7FAA4"/>
    <w:rsid w:val="3FFA2E75"/>
    <w:rsid w:val="3FFF6790"/>
    <w:rsid w:val="3FFF9357"/>
    <w:rsid w:val="46EB90BB"/>
    <w:rsid w:val="47FAF5A5"/>
    <w:rsid w:val="4BA660C0"/>
    <w:rsid w:val="4BDFA501"/>
    <w:rsid w:val="4DBF13C5"/>
    <w:rsid w:val="4DFF6567"/>
    <w:rsid w:val="4FAF8AFD"/>
    <w:rsid w:val="4FBCFA62"/>
    <w:rsid w:val="4FF69B2E"/>
    <w:rsid w:val="4FF95482"/>
    <w:rsid w:val="4FFF22D3"/>
    <w:rsid w:val="4FFF4BAD"/>
    <w:rsid w:val="53CBED4C"/>
    <w:rsid w:val="56DF252F"/>
    <w:rsid w:val="56FF2856"/>
    <w:rsid w:val="57ED4EC4"/>
    <w:rsid w:val="57FBBB43"/>
    <w:rsid w:val="5966DAE2"/>
    <w:rsid w:val="59F62BD6"/>
    <w:rsid w:val="5CBF4A2F"/>
    <w:rsid w:val="5DCA09B9"/>
    <w:rsid w:val="5DCD5222"/>
    <w:rsid w:val="5DDBAF2B"/>
    <w:rsid w:val="5DFBCB90"/>
    <w:rsid w:val="5DFF53F2"/>
    <w:rsid w:val="5E97C694"/>
    <w:rsid w:val="5EBA8F3D"/>
    <w:rsid w:val="5EEF8FD9"/>
    <w:rsid w:val="5EFDF9E1"/>
    <w:rsid w:val="5FB6218B"/>
    <w:rsid w:val="5FBF88A2"/>
    <w:rsid w:val="5FF1BD9C"/>
    <w:rsid w:val="5FF9488A"/>
    <w:rsid w:val="5FFBD3E8"/>
    <w:rsid w:val="5FFF8D30"/>
    <w:rsid w:val="607F0384"/>
    <w:rsid w:val="65DD3199"/>
    <w:rsid w:val="65FF0167"/>
    <w:rsid w:val="67BF54C4"/>
    <w:rsid w:val="67C55196"/>
    <w:rsid w:val="6C2F0BB3"/>
    <w:rsid w:val="6D77035F"/>
    <w:rsid w:val="6DB4332B"/>
    <w:rsid w:val="6DF6EAA2"/>
    <w:rsid w:val="6E4FAE35"/>
    <w:rsid w:val="6E7E46A9"/>
    <w:rsid w:val="6EFFEA7A"/>
    <w:rsid w:val="6F0FD5A8"/>
    <w:rsid w:val="6F430947"/>
    <w:rsid w:val="6F5F2D26"/>
    <w:rsid w:val="6FA7E07D"/>
    <w:rsid w:val="6FB72800"/>
    <w:rsid w:val="6FB78244"/>
    <w:rsid w:val="6FCE2C0A"/>
    <w:rsid w:val="6FD53DB9"/>
    <w:rsid w:val="6FE74C80"/>
    <w:rsid w:val="6FF65B90"/>
    <w:rsid w:val="6FF77C53"/>
    <w:rsid w:val="6FFDE90D"/>
    <w:rsid w:val="727E9D1A"/>
    <w:rsid w:val="72F799A0"/>
    <w:rsid w:val="73BE4804"/>
    <w:rsid w:val="73DE797E"/>
    <w:rsid w:val="73F74ABA"/>
    <w:rsid w:val="74AFDEB0"/>
    <w:rsid w:val="75EDFF31"/>
    <w:rsid w:val="766E324D"/>
    <w:rsid w:val="767C4220"/>
    <w:rsid w:val="773DBDFD"/>
    <w:rsid w:val="774F194A"/>
    <w:rsid w:val="77592A78"/>
    <w:rsid w:val="775FB193"/>
    <w:rsid w:val="77BF6625"/>
    <w:rsid w:val="77DFE0C0"/>
    <w:rsid w:val="77F600D7"/>
    <w:rsid w:val="77F6E03B"/>
    <w:rsid w:val="78AFA059"/>
    <w:rsid w:val="79DEC28B"/>
    <w:rsid w:val="7AD716D2"/>
    <w:rsid w:val="7ADEFE16"/>
    <w:rsid w:val="7AEFEE79"/>
    <w:rsid w:val="7B67BC0E"/>
    <w:rsid w:val="7B67CFFA"/>
    <w:rsid w:val="7B77AB2A"/>
    <w:rsid w:val="7B79F234"/>
    <w:rsid w:val="7B950610"/>
    <w:rsid w:val="7B9ED396"/>
    <w:rsid w:val="7BBD9CD8"/>
    <w:rsid w:val="7BBF9A4C"/>
    <w:rsid w:val="7BBFA4EB"/>
    <w:rsid w:val="7BDF06AD"/>
    <w:rsid w:val="7BE6B818"/>
    <w:rsid w:val="7BFCC45A"/>
    <w:rsid w:val="7BFD2685"/>
    <w:rsid w:val="7BFD8868"/>
    <w:rsid w:val="7BFE2FB9"/>
    <w:rsid w:val="7D371FFC"/>
    <w:rsid w:val="7D7A014C"/>
    <w:rsid w:val="7D7D2F55"/>
    <w:rsid w:val="7D7FC438"/>
    <w:rsid w:val="7DA9C9D7"/>
    <w:rsid w:val="7DAE39B8"/>
    <w:rsid w:val="7DF5EC47"/>
    <w:rsid w:val="7DFE3A40"/>
    <w:rsid w:val="7DFF34E0"/>
    <w:rsid w:val="7E9D4D08"/>
    <w:rsid w:val="7EACE3D7"/>
    <w:rsid w:val="7EBFB04B"/>
    <w:rsid w:val="7ED8A26C"/>
    <w:rsid w:val="7EFD39AF"/>
    <w:rsid w:val="7EFD48D0"/>
    <w:rsid w:val="7F6F785E"/>
    <w:rsid w:val="7F723DC4"/>
    <w:rsid w:val="7F759FFA"/>
    <w:rsid w:val="7F7EC34A"/>
    <w:rsid w:val="7F9DF060"/>
    <w:rsid w:val="7FA99C67"/>
    <w:rsid w:val="7FBB16EC"/>
    <w:rsid w:val="7FCD8E2E"/>
    <w:rsid w:val="7FD71596"/>
    <w:rsid w:val="7FDBE952"/>
    <w:rsid w:val="7FDD3D30"/>
    <w:rsid w:val="7FDFBB82"/>
    <w:rsid w:val="7FE3FCCA"/>
    <w:rsid w:val="7FEEE51E"/>
    <w:rsid w:val="7FF39DFF"/>
    <w:rsid w:val="7FFB7803"/>
    <w:rsid w:val="7FFB7911"/>
    <w:rsid w:val="7FFBC5C6"/>
    <w:rsid w:val="7FFCC8F1"/>
    <w:rsid w:val="7FFF5410"/>
    <w:rsid w:val="7FFF5CCC"/>
    <w:rsid w:val="7FFF6A2E"/>
    <w:rsid w:val="7FFFA2DB"/>
    <w:rsid w:val="7FFFF12B"/>
    <w:rsid w:val="897D1389"/>
    <w:rsid w:val="96FD68B2"/>
    <w:rsid w:val="97FB0830"/>
    <w:rsid w:val="9BF71880"/>
    <w:rsid w:val="9DEFFA38"/>
    <w:rsid w:val="9ED7A4CD"/>
    <w:rsid w:val="9EFD82E9"/>
    <w:rsid w:val="9FDE0E8E"/>
    <w:rsid w:val="9FEDB3ED"/>
    <w:rsid w:val="9FFDBA6A"/>
    <w:rsid w:val="9FFFB3A3"/>
    <w:rsid w:val="A7FB7CA2"/>
    <w:rsid w:val="AF3E2BD4"/>
    <w:rsid w:val="AF5D3160"/>
    <w:rsid w:val="AFB2480E"/>
    <w:rsid w:val="B3EF08E7"/>
    <w:rsid w:val="B5FF828C"/>
    <w:rsid w:val="B67F0DDB"/>
    <w:rsid w:val="B6EF5B85"/>
    <w:rsid w:val="B737694A"/>
    <w:rsid w:val="B7BF9041"/>
    <w:rsid w:val="B7F751C2"/>
    <w:rsid w:val="B7FB10EB"/>
    <w:rsid w:val="B9D648C2"/>
    <w:rsid w:val="BA2F9B44"/>
    <w:rsid w:val="BB737113"/>
    <w:rsid w:val="BCDF733D"/>
    <w:rsid w:val="BDDFEAE6"/>
    <w:rsid w:val="BDFE94FA"/>
    <w:rsid w:val="BE972F80"/>
    <w:rsid w:val="BEDFFD8A"/>
    <w:rsid w:val="BF7F0238"/>
    <w:rsid w:val="BFBB3823"/>
    <w:rsid w:val="BFFB5B76"/>
    <w:rsid w:val="BFFF0F17"/>
    <w:rsid w:val="BFFFBEB6"/>
    <w:rsid w:val="CA56D486"/>
    <w:rsid w:val="CBFD4623"/>
    <w:rsid w:val="CF7E0A24"/>
    <w:rsid w:val="CFDDD45E"/>
    <w:rsid w:val="CFEF3151"/>
    <w:rsid w:val="D1FF50E3"/>
    <w:rsid w:val="D3DB6719"/>
    <w:rsid w:val="D4CE6894"/>
    <w:rsid w:val="D6F7B35C"/>
    <w:rsid w:val="D7A67351"/>
    <w:rsid w:val="D7F7D2AD"/>
    <w:rsid w:val="DA6B1736"/>
    <w:rsid w:val="DBBE6AB2"/>
    <w:rsid w:val="DBE796F9"/>
    <w:rsid w:val="DBFE0B21"/>
    <w:rsid w:val="DBFF1034"/>
    <w:rsid w:val="DDF30BD9"/>
    <w:rsid w:val="DDFA6095"/>
    <w:rsid w:val="DE6FAF48"/>
    <w:rsid w:val="DF6F00D0"/>
    <w:rsid w:val="DF776DFC"/>
    <w:rsid w:val="DF7A51FD"/>
    <w:rsid w:val="DF7EC794"/>
    <w:rsid w:val="DFAF4394"/>
    <w:rsid w:val="DFC3A7C6"/>
    <w:rsid w:val="DFDFB3EE"/>
    <w:rsid w:val="DFDFEF8C"/>
    <w:rsid w:val="DFE78F3B"/>
    <w:rsid w:val="DFF8BE92"/>
    <w:rsid w:val="E13E8FE3"/>
    <w:rsid w:val="E17A1D63"/>
    <w:rsid w:val="E3EFA3C0"/>
    <w:rsid w:val="E61FFEF8"/>
    <w:rsid w:val="E6F3B1F7"/>
    <w:rsid w:val="E6FE3794"/>
    <w:rsid w:val="E75E4B16"/>
    <w:rsid w:val="E77F0EBA"/>
    <w:rsid w:val="E7BF8081"/>
    <w:rsid w:val="E7D1423D"/>
    <w:rsid w:val="E7D435E7"/>
    <w:rsid w:val="E7FABE6D"/>
    <w:rsid w:val="EB7F2130"/>
    <w:rsid w:val="EBBEA68E"/>
    <w:rsid w:val="EBC5293F"/>
    <w:rsid w:val="ED233439"/>
    <w:rsid w:val="EEC38FE0"/>
    <w:rsid w:val="EEFF6102"/>
    <w:rsid w:val="EF3FD1B4"/>
    <w:rsid w:val="EF7FC0F6"/>
    <w:rsid w:val="EFAF94FB"/>
    <w:rsid w:val="EFDF3949"/>
    <w:rsid w:val="F3ABE351"/>
    <w:rsid w:val="F3AD3888"/>
    <w:rsid w:val="F3BFE62A"/>
    <w:rsid w:val="F3FA82C3"/>
    <w:rsid w:val="F3FF0607"/>
    <w:rsid w:val="F3FF312D"/>
    <w:rsid w:val="F4F7A2D7"/>
    <w:rsid w:val="F4FEB8BA"/>
    <w:rsid w:val="F577535B"/>
    <w:rsid w:val="F57F225B"/>
    <w:rsid w:val="F5FFCB53"/>
    <w:rsid w:val="F63FD1F3"/>
    <w:rsid w:val="F6D59771"/>
    <w:rsid w:val="F6F9B98F"/>
    <w:rsid w:val="F6FFE5D3"/>
    <w:rsid w:val="F74D2892"/>
    <w:rsid w:val="F775142E"/>
    <w:rsid w:val="F77D9C4A"/>
    <w:rsid w:val="F77E2356"/>
    <w:rsid w:val="F79F31E1"/>
    <w:rsid w:val="F7AF31E0"/>
    <w:rsid w:val="F7BA72C4"/>
    <w:rsid w:val="F7BFC6A6"/>
    <w:rsid w:val="F7DE5F17"/>
    <w:rsid w:val="F7EF88CA"/>
    <w:rsid w:val="F7F4EE76"/>
    <w:rsid w:val="F7FE4796"/>
    <w:rsid w:val="F7FE6BAE"/>
    <w:rsid w:val="F7FFBBDE"/>
    <w:rsid w:val="F8BFEFD1"/>
    <w:rsid w:val="F8CA1474"/>
    <w:rsid w:val="F95FCFCA"/>
    <w:rsid w:val="F9FDE4CE"/>
    <w:rsid w:val="F9FF9354"/>
    <w:rsid w:val="F9FFC707"/>
    <w:rsid w:val="FAFBD134"/>
    <w:rsid w:val="FB6FF9BC"/>
    <w:rsid w:val="FB7CEABB"/>
    <w:rsid w:val="FB7D41BB"/>
    <w:rsid w:val="FBBB6F7A"/>
    <w:rsid w:val="FBC6C41F"/>
    <w:rsid w:val="FBE94254"/>
    <w:rsid w:val="FBFEB08F"/>
    <w:rsid w:val="FBFF0CBD"/>
    <w:rsid w:val="FBFF4574"/>
    <w:rsid w:val="FCE462BF"/>
    <w:rsid w:val="FCE7D71D"/>
    <w:rsid w:val="FD4B054C"/>
    <w:rsid w:val="FDB357F1"/>
    <w:rsid w:val="FDE716DC"/>
    <w:rsid w:val="FDE77E4B"/>
    <w:rsid w:val="FDF8B410"/>
    <w:rsid w:val="FDFD06BD"/>
    <w:rsid w:val="FDFD06F9"/>
    <w:rsid w:val="FE2FAB47"/>
    <w:rsid w:val="FE3BD897"/>
    <w:rsid w:val="FE5E53DC"/>
    <w:rsid w:val="FEA2A801"/>
    <w:rsid w:val="FEAD24E6"/>
    <w:rsid w:val="FEB5F741"/>
    <w:rsid w:val="FEBE5586"/>
    <w:rsid w:val="FEE32563"/>
    <w:rsid w:val="FEEBC7E2"/>
    <w:rsid w:val="FEFB0896"/>
    <w:rsid w:val="FF3991EE"/>
    <w:rsid w:val="FF3A5F8C"/>
    <w:rsid w:val="FF6B5840"/>
    <w:rsid w:val="FF77090E"/>
    <w:rsid w:val="FF77E0FC"/>
    <w:rsid w:val="FF7B7351"/>
    <w:rsid w:val="FF7BD278"/>
    <w:rsid w:val="FF98987F"/>
    <w:rsid w:val="FF9A5B6B"/>
    <w:rsid w:val="FF9F2B64"/>
    <w:rsid w:val="FFB214BA"/>
    <w:rsid w:val="FFBD3158"/>
    <w:rsid w:val="FFBEEF35"/>
    <w:rsid w:val="FFD5026F"/>
    <w:rsid w:val="FFE307AC"/>
    <w:rsid w:val="FFEE5DED"/>
    <w:rsid w:val="FFEF60C6"/>
    <w:rsid w:val="FFEF9980"/>
    <w:rsid w:val="FFF35F00"/>
    <w:rsid w:val="FFF42CFA"/>
    <w:rsid w:val="FFF731B5"/>
    <w:rsid w:val="FFF75C21"/>
    <w:rsid w:val="FFFBF0A0"/>
    <w:rsid w:val="FFFBFB93"/>
    <w:rsid w:val="FFFD049D"/>
    <w:rsid w:val="FFFDA40F"/>
    <w:rsid w:val="FFFE1BDB"/>
    <w:rsid w:val="FFFE6FC8"/>
    <w:rsid w:val="FFFE9822"/>
    <w:rsid w:val="FFFF539A"/>
    <w:rsid w:val="FFFF8208"/>
    <w:rsid w:val="FFFF89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6">
    <w:name w:val="annotation text"/>
    <w:basedOn w:val="1"/>
    <w:link w:val="21"/>
    <w:uiPriority w:val="0"/>
    <w:pPr>
      <w:jc w:val="left"/>
    </w:pPr>
  </w:style>
  <w:style w:type="paragraph" w:styleId="7">
    <w:name w:val="footer"/>
    <w:basedOn w:val="1"/>
    <w:link w:val="19"/>
    <w:uiPriority w:val="0"/>
    <w:pPr>
      <w:tabs>
        <w:tab w:val="center" w:pos="4153"/>
        <w:tab w:val="right" w:pos="8306"/>
      </w:tabs>
      <w:snapToGrid w:val="0"/>
      <w:jc w:val="left"/>
    </w:pPr>
    <w:rPr>
      <w:sz w:val="18"/>
      <w:szCs w:val="18"/>
    </w:rPr>
  </w:style>
  <w:style w:type="paragraph" w:styleId="8">
    <w:name w:val="header"/>
    <w:basedOn w:val="1"/>
    <w:link w:val="18"/>
    <w:uiPriority w:val="0"/>
    <w:pPr>
      <w:tabs>
        <w:tab w:val="center" w:pos="4153"/>
        <w:tab w:val="right" w:pos="8306"/>
      </w:tabs>
      <w:snapToGrid w:val="0"/>
      <w:jc w:val="center"/>
    </w:pPr>
    <w:rPr>
      <w:sz w:val="18"/>
      <w:szCs w:val="18"/>
    </w:rPr>
  </w:style>
  <w:style w:type="paragraph" w:styleId="9">
    <w:name w:val="Normal (Web)"/>
    <w:basedOn w:val="1"/>
    <w:uiPriority w:val="0"/>
    <w:pPr>
      <w:spacing w:beforeAutospacing="1" w:afterAutospacing="1"/>
      <w:jc w:val="left"/>
    </w:pPr>
    <w:rPr>
      <w:rFonts w:cs="Times New Roman"/>
      <w:kern w:val="0"/>
      <w:sz w:val="24"/>
    </w:rPr>
  </w:style>
  <w:style w:type="paragraph" w:styleId="10">
    <w:name w:val="annotation subject"/>
    <w:basedOn w:val="6"/>
    <w:next w:val="6"/>
    <w:link w:val="22"/>
    <w:uiPriority w:val="0"/>
    <w:rPr>
      <w:b/>
      <w:bCs/>
    </w:rPr>
  </w:style>
  <w:style w:type="table" w:styleId="12">
    <w:name w:val="Table Grid"/>
    <w:basedOn w:val="11"/>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uiPriority w:val="0"/>
    <w:rPr>
      <w:color w:val="0000FF"/>
      <w:u w:val="single"/>
    </w:rPr>
  </w:style>
  <w:style w:type="character" w:styleId="15">
    <w:name w:val="annotation reference"/>
    <w:basedOn w:val="13"/>
    <w:uiPriority w:val="0"/>
    <w:rPr>
      <w:sz w:val="21"/>
      <w:szCs w:val="21"/>
    </w:rPr>
  </w:style>
  <w:style w:type="paragraph" w:styleId="16">
    <w:name w:val="List Paragraph"/>
    <w:basedOn w:val="1"/>
    <w:qFormat/>
    <w:uiPriority w:val="34"/>
    <w:pPr>
      <w:ind w:left="720"/>
      <w:contextualSpacing/>
    </w:pPr>
  </w:style>
  <w:style w:type="paragraph" w:customStyle="1" w:styleId="17">
    <w:name w:val="EndNote Bibliography"/>
    <w:basedOn w:val="1"/>
    <w:qFormat/>
    <w:uiPriority w:val="0"/>
    <w:rPr>
      <w:rFonts w:ascii="Times New Roman" w:hAnsi="Times New Roman" w:eastAsia="DengXian" w:cs="Times New Roman"/>
      <w:sz w:val="24"/>
    </w:rPr>
  </w:style>
  <w:style w:type="character" w:customStyle="1" w:styleId="18">
    <w:name w:val="页眉 字符"/>
    <w:basedOn w:val="13"/>
    <w:link w:val="8"/>
    <w:uiPriority w:val="0"/>
    <w:rPr>
      <w:rFonts w:asciiTheme="minorHAnsi" w:hAnsiTheme="minorHAnsi" w:eastAsiaTheme="minorEastAsia" w:cstheme="minorBidi"/>
      <w:kern w:val="2"/>
      <w:sz w:val="18"/>
      <w:szCs w:val="18"/>
    </w:rPr>
  </w:style>
  <w:style w:type="character" w:customStyle="1" w:styleId="19">
    <w:name w:val="页脚 字符"/>
    <w:basedOn w:val="13"/>
    <w:link w:val="7"/>
    <w:uiPriority w:val="0"/>
    <w:rPr>
      <w:rFonts w:asciiTheme="minorHAnsi" w:hAnsiTheme="minorHAnsi" w:eastAsiaTheme="minorEastAsia" w:cstheme="minorBidi"/>
      <w:kern w:val="2"/>
      <w:sz w:val="18"/>
      <w:szCs w:val="18"/>
    </w:rPr>
  </w:style>
  <w:style w:type="paragraph" w:customStyle="1" w:styleId="20">
    <w:name w:val="修订1"/>
    <w:hidden/>
    <w:unhideWhenUsed/>
    <w:uiPriority w:val="99"/>
    <w:rPr>
      <w:rFonts w:asciiTheme="minorHAnsi" w:hAnsiTheme="minorHAnsi" w:eastAsiaTheme="minorEastAsia" w:cstheme="minorBidi"/>
      <w:kern w:val="2"/>
      <w:sz w:val="21"/>
      <w:szCs w:val="24"/>
      <w:lang w:val="en-US" w:eastAsia="zh-CN" w:bidi="ar-SA"/>
    </w:rPr>
  </w:style>
  <w:style w:type="character" w:customStyle="1" w:styleId="21">
    <w:name w:val="批注文字 字符"/>
    <w:basedOn w:val="13"/>
    <w:link w:val="6"/>
    <w:uiPriority w:val="0"/>
    <w:rPr>
      <w:rFonts w:asciiTheme="minorHAnsi" w:hAnsiTheme="minorHAnsi" w:eastAsiaTheme="minorEastAsia" w:cstheme="minorBidi"/>
      <w:kern w:val="2"/>
      <w:sz w:val="21"/>
      <w:szCs w:val="24"/>
    </w:rPr>
  </w:style>
  <w:style w:type="character" w:customStyle="1" w:styleId="22">
    <w:name w:val="批注主题 字符"/>
    <w:basedOn w:val="21"/>
    <w:link w:val="10"/>
    <w:uiPriority w:val="0"/>
    <w:rPr>
      <w:rFonts w:asciiTheme="minorHAnsi" w:hAnsiTheme="minorHAnsi" w:eastAsiaTheme="minorEastAsia" w:cstheme="minorBidi"/>
      <w:b/>
      <w:bCs/>
      <w:kern w:val="2"/>
      <w:sz w:val="21"/>
      <w:szCs w:val="24"/>
    </w:rPr>
  </w:style>
  <w:style w:type="paragraph" w:customStyle="1" w:styleId="23">
    <w:name w:val="Revision"/>
    <w:hidden/>
    <w:unhideWhenUsed/>
    <w:uiPriority w:val="99"/>
    <w:rPr>
      <w:rFonts w:asciiTheme="minorHAnsi" w:hAnsiTheme="minorHAnsi" w:eastAsiaTheme="minorEastAsia" w:cstheme="minorBidi"/>
      <w:kern w:val="2"/>
      <w:sz w:val="21"/>
      <w:szCs w:val="24"/>
      <w:lang w:val="en-US" w:eastAsia="zh-CN" w:bidi="ar-SA"/>
    </w:rPr>
  </w:style>
  <w:style w:type="character" w:customStyle="1" w:styleId="24">
    <w:name w:val="Unresolved Mention"/>
    <w:basedOn w:val="13"/>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FADC136F-E71F-6147-B7E1-DC4C63D7147B}">
  <ds:schemaRefs/>
</ds:datastoreItem>
</file>

<file path=docProps/app.xml><?xml version="1.0" encoding="utf-8"?>
<Properties xmlns="http://schemas.openxmlformats.org/officeDocument/2006/extended-properties" xmlns:vt="http://schemas.openxmlformats.org/officeDocument/2006/docPropsVTypes">
  <Template>Normal.dotm</Template>
  <Pages>13</Pages>
  <Words>2145</Words>
  <Characters>12231</Characters>
  <Lines>101</Lines>
  <Paragraphs>28</Paragraphs>
  <TotalTime>2</TotalTime>
  <ScaleCrop>false</ScaleCrop>
  <LinksUpToDate>false</LinksUpToDate>
  <CharactersWithSpaces>14348</CharactersWithSpaces>
  <Application>WPS Office_12.1.23540.23540_F1E327BC-269C-435d-A152-05C5408002CA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2025-08-20T01:39:00Z</dcterms:created>
  <dc:creator>Huifeng</dc:creator>
  <cp:lastModifiedBy>jdu</cp:lastModifiedBy>
  <dcterms:modified xsi:type="dcterms:W3CDTF">2026-04-09T21:58:58Z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2052-12.1.23540.23540</vt:lpwstr>
  </property>
  <property fmtid="{D5CDD505-2E9C-101B-9397-08002B2CF9AE}" pid="3" name="ICV">
    <vt:lpwstr>E9F42DECEF1BFE6DDA51A068403263F5_41</vt:lpwstr>
  </property>
</Properties>
</file>