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5EA97">
      <w:pPr>
        <w:ind w:left="360" w:hanging="360"/>
        <w:jc w:val="center"/>
        <w:rPr>
          <w:rFonts w:ascii="Times New Roman Bold" w:hAnsi="Times New Roman Bold" w:cs="Times New Roman Bold"/>
          <w:b/>
          <w:bCs/>
          <w:sz w:val="32"/>
          <w:szCs w:val="32"/>
        </w:rPr>
      </w:pPr>
      <w:r>
        <w:rPr>
          <w:rFonts w:ascii="Times New Roman Bold" w:hAnsi="Times New Roman Bold" w:cs="Times New Roman Bold"/>
          <w:b/>
          <w:bCs/>
          <w:sz w:val="32"/>
          <w:szCs w:val="32"/>
        </w:rPr>
        <w:t>Code and Data Description</w:t>
      </w:r>
    </w:p>
    <w:p w14:paraId="3B323B83">
      <w:pPr>
        <w:spacing w:line="360" w:lineRule="auto"/>
        <w:ind w:left="360" w:hanging="360"/>
        <w:rPr>
          <w:rFonts w:ascii="Times New Roman" w:hAnsi="Times New Roman" w:cs="Times New Roman"/>
          <w:sz w:val="21"/>
          <w:szCs w:val="21"/>
        </w:rPr>
      </w:pPr>
      <w:r>
        <w:rPr>
          <w:rFonts w:ascii="Times New Roman" w:hAnsi="Times New Roman" w:cs="Times New Roman"/>
          <w:sz w:val="21"/>
          <w:szCs w:val="21"/>
        </w:rPr>
        <w:t># Code and data repository for: Six-fold reduction in ocean heat content estimate uncertainty since 1960</w:t>
      </w:r>
    </w:p>
    <w:p w14:paraId="672819D8">
      <w:pPr>
        <w:spacing w:line="360" w:lineRule="auto"/>
        <w:ind w:left="360" w:hanging="360"/>
        <w:rPr>
          <w:rFonts w:ascii="Times New Roman" w:hAnsi="Times New Roman" w:cs="Times New Roman"/>
          <w:sz w:val="21"/>
          <w:szCs w:val="21"/>
        </w:rPr>
      </w:pPr>
      <w:r>
        <w:rPr>
          <w:rFonts w:hint="eastAsia" w:ascii="Times New Roman" w:hAnsi="Times New Roman" w:cs="Times New Roman"/>
          <w:sz w:val="21"/>
          <w:szCs w:val="21"/>
        </w:rPr>
        <w:t># Authers</w:t>
      </w:r>
      <w:r>
        <w:rPr>
          <w:rFonts w:ascii="Times New Roman" w:hAnsi="Times New Roman" w:cs="Times New Roman"/>
          <w:sz w:val="21"/>
          <w:szCs w:val="21"/>
        </w:rPr>
        <w:t>: Hu</w:t>
      </w:r>
      <w:r>
        <w:rPr>
          <w:rFonts w:hint="eastAsia" w:ascii="Times New Roman" w:hAnsi="Times New Roman" w:cs="Times New Roman"/>
          <w:sz w:val="21"/>
          <w:szCs w:val="21"/>
          <w:lang w:val="en-US" w:eastAsia="zh-CN"/>
        </w:rPr>
        <w:t>i</w:t>
      </w:r>
      <w:r>
        <w:rPr>
          <w:rFonts w:ascii="Times New Roman" w:hAnsi="Times New Roman" w:cs="Times New Roman"/>
          <w:sz w:val="21"/>
          <w:szCs w:val="21"/>
        </w:rPr>
        <w:t>feng Yuan, Lijing Cheng, Yuying Pan, Yujing Zhu, Xinyi Song, Huayi Zheng</w:t>
      </w:r>
    </w:p>
    <w:p w14:paraId="41D719EB">
      <w:pPr>
        <w:spacing w:line="360" w:lineRule="auto"/>
        <w:ind w:left="360" w:hanging="360"/>
        <w:rPr>
          <w:rFonts w:ascii="Times New Roman" w:hAnsi="Times New Roman" w:cs="Times New Roman"/>
          <w:sz w:val="21"/>
          <w:szCs w:val="21"/>
        </w:rPr>
      </w:pPr>
      <w:r>
        <w:rPr>
          <w:rFonts w:ascii="Times New Roman" w:hAnsi="Times New Roman" w:cs="Times New Roman"/>
          <w:sz w:val="21"/>
          <w:szCs w:val="21"/>
        </w:rPr>
        <w:t xml:space="preserve"># </w:t>
      </w:r>
      <w:r>
        <w:rPr>
          <w:rFonts w:hint="eastAsia" w:ascii="Times New Roman" w:hAnsi="Times New Roman" w:cs="Times New Roman"/>
          <w:sz w:val="21"/>
          <w:szCs w:val="21"/>
        </w:rPr>
        <w:t>Corresponding author</w:t>
      </w:r>
      <w:r>
        <w:rPr>
          <w:rFonts w:ascii="Times New Roman" w:hAnsi="Times New Roman" w:cs="Times New Roman"/>
          <w:sz w:val="21"/>
          <w:szCs w:val="21"/>
        </w:rPr>
        <w:t xml:space="preserve">: Huifeng Yuan </w:t>
      </w:r>
      <w:r>
        <w:rPr>
          <w:sz w:val="21"/>
          <w:szCs w:val="21"/>
        </w:rPr>
        <w:fldChar w:fldCharType="begin"/>
      </w:r>
      <w:r>
        <w:rPr>
          <w:sz w:val="21"/>
          <w:szCs w:val="21"/>
        </w:rPr>
        <w:instrText xml:space="preserve"> HYPERLINK "mailto:(hfyuan@cnic.cn)," </w:instrText>
      </w:r>
      <w:r>
        <w:rPr>
          <w:sz w:val="21"/>
          <w:szCs w:val="21"/>
        </w:rPr>
        <w:fldChar w:fldCharType="separate"/>
      </w:r>
      <w:r>
        <w:rPr>
          <w:rStyle w:val="17"/>
          <w:rFonts w:ascii="Times New Roman" w:hAnsi="Times New Roman" w:cs="Times New Roman"/>
          <w:sz w:val="21"/>
          <w:szCs w:val="21"/>
        </w:rPr>
        <w:t>(hfyuan@cnic.cn),</w:t>
      </w:r>
      <w:r>
        <w:rPr>
          <w:rStyle w:val="17"/>
          <w:rFonts w:ascii="Times New Roman" w:hAnsi="Times New Roman" w:cs="Times New Roman"/>
          <w:sz w:val="21"/>
          <w:szCs w:val="21"/>
        </w:rPr>
        <w:fldChar w:fldCharType="end"/>
      </w:r>
      <w:r>
        <w:rPr>
          <w:rFonts w:ascii="Times New Roman" w:hAnsi="Times New Roman" w:cs="Times New Roman"/>
          <w:sz w:val="21"/>
          <w:szCs w:val="21"/>
        </w:rPr>
        <w:t xml:space="preserve"> Lijing Cheng (</w:t>
      </w:r>
      <w:r>
        <w:rPr>
          <w:rFonts w:hint="eastAsia" w:ascii="Times New Roman" w:hAnsi="Times New Roman" w:cs="Times New Roman"/>
          <w:sz w:val="21"/>
          <w:szCs w:val="21"/>
        </w:rPr>
        <w:t>chenglij@mail</w:t>
      </w:r>
      <w:r>
        <w:rPr>
          <w:rFonts w:ascii="Times New Roman" w:hAnsi="Times New Roman" w:cs="Times New Roman"/>
          <w:sz w:val="21"/>
          <w:szCs w:val="21"/>
        </w:rPr>
        <w:t>.</w:t>
      </w:r>
      <w:r>
        <w:rPr>
          <w:rFonts w:hint="eastAsia" w:ascii="Times New Roman" w:hAnsi="Times New Roman" w:cs="Times New Roman"/>
          <w:sz w:val="21"/>
          <w:szCs w:val="21"/>
        </w:rPr>
        <w:t>iap.ac</w:t>
      </w:r>
      <w:r>
        <w:rPr>
          <w:rFonts w:ascii="Times New Roman" w:hAnsi="Times New Roman" w:cs="Times New Roman"/>
          <w:sz w:val="21"/>
          <w:szCs w:val="21"/>
        </w:rPr>
        <w:t>.</w:t>
      </w:r>
      <w:r>
        <w:rPr>
          <w:rFonts w:hint="eastAsia" w:ascii="Times New Roman" w:hAnsi="Times New Roman" w:cs="Times New Roman"/>
          <w:sz w:val="21"/>
          <w:szCs w:val="21"/>
        </w:rPr>
        <w:t>cn</w:t>
      </w:r>
      <w:r>
        <w:rPr>
          <w:rFonts w:ascii="Times New Roman" w:hAnsi="Times New Roman" w:cs="Times New Roman"/>
          <w:sz w:val="21"/>
          <w:szCs w:val="21"/>
        </w:rPr>
        <w:t>)</w:t>
      </w:r>
    </w:p>
    <w:p w14:paraId="46488101"/>
    <w:p w14:paraId="7C91B609">
      <w:pPr>
        <w:pStyle w:val="32"/>
        <w:numPr>
          <w:ilvl w:val="0"/>
          <w:numId w:val="1"/>
        </w:numPr>
        <w:spacing w:after="0" w:line="360" w:lineRule="auto"/>
        <w:rPr>
          <w:rFonts w:ascii="Times New Roman Regular" w:hAnsi="Times New Roman Regular" w:eastAsia="Helvetica Neue" w:cs="Times New Roman Regular"/>
          <w:color w:val="0F1115"/>
          <w:sz w:val="21"/>
          <w:szCs w:val="21"/>
          <w:shd w:val="clear" w:color="auto" w:fill="FFFFFF"/>
        </w:rPr>
      </w:pPr>
      <w:r>
        <w:rPr>
          <w:rFonts w:ascii="Times New Roman Regular" w:hAnsi="Times New Roman Regular" w:cs="Times New Roman Regular"/>
          <w:sz w:val="21"/>
          <w:szCs w:val="21"/>
        </w:rPr>
        <w:t>Data Analysis</w:t>
      </w:r>
    </w:p>
    <w:p w14:paraId="32815CE1">
      <w:pPr>
        <w:pStyle w:val="12"/>
        <w:shd w:val="clear" w:color="auto" w:fill="FFFFFF"/>
        <w:spacing w:line="360" w:lineRule="auto"/>
        <w:jc w:val="both"/>
        <w:rPr>
          <w:rFonts w:ascii="Times New Roman Regular" w:hAnsi="Times New Roman Regular" w:eastAsia="Helvetica Neue" w:cs="Times New Roman Regular"/>
          <w:color w:val="0F1115"/>
          <w:sz w:val="21"/>
          <w:szCs w:val="21"/>
        </w:rPr>
      </w:pPr>
      <w:r>
        <w:rPr>
          <w:rFonts w:ascii="Times New Roman Regular" w:hAnsi="Times New Roman Regular" w:eastAsia="Helvetica Neue" w:cs="Times New Roman Regular"/>
          <w:color w:val="0F1115"/>
          <w:sz w:val="21"/>
          <w:szCs w:val="21"/>
          <w:shd w:val="clear" w:color="auto" w:fill="FFFFFF"/>
        </w:rPr>
        <w:t>The Python code required for computing the relevant results in this study are provided in the following locations:</w:t>
      </w:r>
    </w:p>
    <w:p w14:paraId="145F0E84">
      <w:pPr>
        <w:pStyle w:val="12"/>
        <w:spacing w:line="360" w:lineRule="auto"/>
        <w:rPr>
          <w:rFonts w:ascii="Times New Roman Regular" w:hAnsi="Times New Roman Regular" w:cs="Times New Roman Regular"/>
          <w:b w:val="0"/>
          <w:bCs w:val="0"/>
          <w:sz w:val="21"/>
          <w:szCs w:val="21"/>
        </w:rPr>
      </w:pPr>
      <w:r>
        <w:rPr>
          <w:rFonts w:ascii="Times New Roman Regular" w:hAnsi="Times New Roman Regular" w:eastAsia="Helvetica Neue" w:cs="Times New Roman Regular"/>
          <w:b w:val="0"/>
          <w:bCs w:val="0"/>
          <w:color w:val="0F1115"/>
          <w:sz w:val="21"/>
          <w:szCs w:val="21"/>
          <w:shd w:val="clear" w:color="auto" w:fill="FFFFFF"/>
        </w:rPr>
        <w:t>Online repository: </w:t>
      </w:r>
      <w:r>
        <w:rPr>
          <w:b w:val="0"/>
          <w:bCs w:val="0"/>
        </w:rPr>
        <w:fldChar w:fldCharType="begin"/>
      </w:r>
      <w:r>
        <w:rPr>
          <w:b w:val="0"/>
          <w:bCs w:val="0"/>
        </w:rPr>
        <w:instrText xml:space="preserve"> HYPERLINK "http://www.ocean.iap.ac.cn/ftp/ensemble/code/" \t "/Users/huifengyuan/Documents\x/_blank" </w:instrText>
      </w:r>
      <w:r>
        <w:rPr>
          <w:b w:val="0"/>
          <w:bCs w:val="0"/>
        </w:rPr>
        <w:fldChar w:fldCharType="separate"/>
      </w:r>
      <w:r>
        <w:rPr>
          <w:rStyle w:val="17"/>
          <w:rFonts w:ascii="Times New Roman Regular" w:hAnsi="Times New Roman Regular" w:eastAsia="Helvetica Neue" w:cs="Times New Roman Regular"/>
          <w:b w:val="0"/>
          <w:bCs w:val="0"/>
          <w:color w:val="3964FE"/>
          <w:sz w:val="21"/>
          <w:szCs w:val="21"/>
          <w:u w:val="none"/>
          <w:shd w:val="clear" w:color="auto" w:fill="FFFFFF"/>
        </w:rPr>
        <w:t>http://www.ocean.iap.ac.cn/ftp/ensemble/code/</w:t>
      </w:r>
      <w:r>
        <w:rPr>
          <w:rStyle w:val="17"/>
          <w:rFonts w:ascii="Times New Roman Regular" w:hAnsi="Times New Roman Regular" w:eastAsia="Helvetica Neue" w:cs="Times New Roman Regular"/>
          <w:b w:val="0"/>
          <w:bCs w:val="0"/>
          <w:color w:val="3964FE"/>
          <w:sz w:val="21"/>
          <w:szCs w:val="21"/>
          <w:u w:val="none"/>
          <w:shd w:val="clear" w:color="auto" w:fill="FFFFFF"/>
        </w:rPr>
        <w:fldChar w:fldCharType="end"/>
      </w:r>
    </w:p>
    <w:p w14:paraId="46AA9E0F">
      <w:pPr>
        <w:pStyle w:val="12"/>
        <w:spacing w:line="360" w:lineRule="auto"/>
        <w:rPr>
          <w:rFonts w:ascii="Times New Roman Regular" w:hAnsi="Times New Roman Regular" w:cs="Times New Roman Regular"/>
          <w:b w:val="0"/>
          <w:bCs w:val="0"/>
          <w:sz w:val="21"/>
          <w:szCs w:val="21"/>
        </w:rPr>
      </w:pPr>
      <w:r>
        <w:rPr>
          <w:rFonts w:ascii="Times New Roman Regular" w:hAnsi="Times New Roman Regular" w:eastAsia="Helvetica Neue" w:cs="Times New Roman Regular"/>
          <w:b w:val="0"/>
          <w:bCs w:val="0"/>
          <w:color w:val="0F1115"/>
          <w:sz w:val="21"/>
          <w:szCs w:val="21"/>
          <w:shd w:val="clear" w:color="auto" w:fill="FFFFFF"/>
        </w:rPr>
        <w:t>Local backup: The </w:t>
      </w:r>
      <w:r>
        <w:rPr>
          <w:rStyle w:val="18"/>
          <w:rFonts w:ascii="Times New Roman Regular" w:hAnsi="Times New Roman Regular" w:eastAsia="Menlo" w:cs="Times New Roman Regular"/>
          <w:b w:val="0"/>
          <w:bCs w:val="0"/>
          <w:color w:val="0F1115"/>
          <w:sz w:val="21"/>
          <w:szCs w:val="21"/>
        </w:rPr>
        <w:t>Code/</w:t>
      </w:r>
      <w:r>
        <w:rPr>
          <w:rFonts w:ascii="Times New Roman Regular" w:hAnsi="Times New Roman Regular" w:eastAsia="Helvetica Neue" w:cs="Times New Roman Regular"/>
          <w:b w:val="0"/>
          <w:bCs w:val="0"/>
          <w:color w:val="0F1115"/>
          <w:sz w:val="21"/>
          <w:szCs w:val="21"/>
        </w:rPr>
        <w:t> </w:t>
      </w:r>
      <w:r>
        <w:rPr>
          <w:rFonts w:ascii="Times New Roman Regular" w:hAnsi="Times New Roman Regular" w:eastAsia="Helvetica Neue" w:cs="Times New Roman Regular"/>
          <w:b w:val="0"/>
          <w:bCs w:val="0"/>
          <w:color w:val="0F1115"/>
          <w:sz w:val="21"/>
          <w:szCs w:val="21"/>
          <w:shd w:val="clear" w:color="auto" w:fill="FFFFFF"/>
        </w:rPr>
        <w:t>folder</w:t>
      </w:r>
    </w:p>
    <w:p w14:paraId="6C92D6B8">
      <w:pPr>
        <w:pStyle w:val="12"/>
        <w:numPr>
          <w:ilvl w:val="0"/>
          <w:numId w:val="2"/>
        </w:numPr>
        <w:spacing w:line="360" w:lineRule="auto"/>
        <w:ind w:right="880"/>
        <w:rPr>
          <w:rFonts w:ascii="Times New Roman Bold" w:hAnsi="Times New Roman Bold" w:eastAsia="Helvetica Neue" w:cs="Times New Roman Bold"/>
          <w:b/>
          <w:bCs/>
          <w:color w:val="0F1115"/>
          <w:sz w:val="21"/>
          <w:szCs w:val="21"/>
          <w:shd w:val="clear" w:color="auto" w:fill="FFFFFF"/>
        </w:rPr>
      </w:pPr>
      <w:r>
        <w:rPr>
          <w:rFonts w:ascii="Times New Roman Bold" w:hAnsi="Times New Roman Bold" w:eastAsia="Helvetica Neue" w:cs="Times New Roman Bold"/>
          <w:b/>
          <w:bCs/>
          <w:color w:val="0F1115"/>
          <w:sz w:val="21"/>
          <w:szCs w:val="21"/>
          <w:shd w:val="clear" w:color="auto" w:fill="FFFFFF"/>
        </w:rPr>
        <w:t> Step1_cal_source_err_TS_8error_source.py</w:t>
      </w:r>
    </w:p>
    <w:p w14:paraId="72F6C8CC">
      <w:pPr>
        <w:pStyle w:val="12"/>
        <w:spacing w:line="360" w:lineRule="auto"/>
        <w:ind w:right="880"/>
        <w:jc w:val="both"/>
        <w:rPr>
          <w:rFonts w:ascii="Times New Roman Regular" w:hAnsi="Times New Roman Regular" w:cs="Times New Roman Regular"/>
          <w:sz w:val="21"/>
          <w:szCs w:val="21"/>
        </w:rPr>
      </w:pPr>
      <w:r>
        <w:rPr>
          <w:rFonts w:ascii="Times New Roman Regular" w:hAnsi="Times New Roman Regular" w:eastAsia="Helvetica Neue" w:cs="Times New Roman Regular"/>
          <w:color w:val="0F1115"/>
          <w:sz w:val="21"/>
          <w:szCs w:val="21"/>
          <w:shd w:val="clear" w:color="auto" w:fill="FFFFFF"/>
        </w:rPr>
        <w:t>Quantifies the uncertainty magnitudes of the eight major error sources in the 0-2000m</w:t>
      </w:r>
      <w:r>
        <w:rPr>
          <w:rFonts w:hint="eastAsia" w:ascii="Times New Roman Regular" w:hAnsi="Times New Roman Regular" w:eastAsia="宋体" w:cs="Times New Roman Regular"/>
          <w:color w:val="0F1115"/>
          <w:sz w:val="21"/>
          <w:szCs w:val="21"/>
          <w:shd w:val="clear" w:color="auto" w:fill="FFFFFF"/>
          <w:lang w:val="en-US" w:eastAsia="zh-CN"/>
        </w:rPr>
        <w:t xml:space="preserve"> </w:t>
      </w:r>
      <w:r>
        <w:rPr>
          <w:rFonts w:ascii="Times New Roman Regular" w:hAnsi="Times New Roman Regular" w:eastAsia="Helvetica Neue" w:cs="Times New Roman Regular"/>
          <w:color w:val="0F1115"/>
          <w:sz w:val="21"/>
          <w:szCs w:val="21"/>
          <w:shd w:val="clear" w:color="auto" w:fill="FFFFFF"/>
        </w:rPr>
        <w:t>ocean heat content estimates.</w:t>
      </w:r>
    </w:p>
    <w:p w14:paraId="67CF3092">
      <w:pPr>
        <w:pStyle w:val="12"/>
        <w:numPr>
          <w:ilvl w:val="0"/>
          <w:numId w:val="2"/>
        </w:numPr>
        <w:spacing w:line="360" w:lineRule="auto"/>
        <w:ind w:right="880"/>
        <w:rPr>
          <w:rFonts w:ascii="Times New Roman Bold" w:hAnsi="Times New Roman Bold" w:eastAsia="Helvetica Neue" w:cs="Times New Roman Bold"/>
          <w:b/>
          <w:bCs/>
          <w:color w:val="0F1115"/>
          <w:sz w:val="21"/>
          <w:szCs w:val="21"/>
          <w:shd w:val="clear" w:color="auto" w:fill="FFFFFF"/>
        </w:rPr>
      </w:pPr>
      <w:r>
        <w:rPr>
          <w:rFonts w:ascii="Times New Roman Bold" w:hAnsi="Times New Roman Bold" w:eastAsia="Helvetica Neue" w:cs="Times New Roman Bold"/>
          <w:b/>
          <w:bCs/>
          <w:color w:val="0F1115"/>
          <w:sz w:val="21"/>
          <w:szCs w:val="21"/>
          <w:shd w:val="clear" w:color="auto" w:fill="FFFFFF"/>
        </w:rPr>
        <w:t> Step2_cal_source_err_Trend_8error_source.py</w:t>
      </w:r>
    </w:p>
    <w:p w14:paraId="4B4656E1">
      <w:pPr>
        <w:pStyle w:val="12"/>
        <w:spacing w:line="360" w:lineRule="auto"/>
        <w:ind w:right="880"/>
        <w:jc w:val="both"/>
        <w:rPr>
          <w:rFonts w:ascii="Times New Roman Regular" w:hAnsi="Times New Roman Regular" w:cs="Times New Roman Regular"/>
          <w:sz w:val="21"/>
          <w:szCs w:val="21"/>
        </w:rPr>
      </w:pPr>
      <w:r>
        <w:rPr>
          <w:rFonts w:ascii="Times New Roman Regular" w:hAnsi="Times New Roman Regular" w:eastAsia="Helvetica Neue" w:cs="Times New Roman Regular"/>
          <w:color w:val="0F1115"/>
          <w:sz w:val="21"/>
          <w:szCs w:val="21"/>
          <w:shd w:val="clear" w:color="auto" w:fill="FFFFFF"/>
        </w:rPr>
        <w:t xml:space="preserve">Calculates </w:t>
      </w:r>
      <w:bookmarkStart w:id="0" w:name="_GoBack"/>
      <w:bookmarkEnd w:id="0"/>
      <w:r>
        <w:rPr>
          <w:rFonts w:ascii="Times New Roman Regular" w:hAnsi="Times New Roman Regular" w:eastAsia="Helvetica Neue" w:cs="Times New Roman Regular"/>
          <w:color w:val="0F1115"/>
          <w:sz w:val="21"/>
          <w:szCs w:val="21"/>
          <w:shd w:val="clear" w:color="auto" w:fill="FFFFFF"/>
        </w:rPr>
        <w:t>the trends of the eight error sources in ocean heat content over four selected time periods.</w:t>
      </w:r>
    </w:p>
    <w:p w14:paraId="5AC589E6">
      <w:pPr>
        <w:pStyle w:val="12"/>
        <w:numPr>
          <w:ilvl w:val="0"/>
          <w:numId w:val="2"/>
        </w:numPr>
        <w:spacing w:line="360" w:lineRule="auto"/>
        <w:ind w:right="880"/>
        <w:rPr>
          <w:rFonts w:ascii="Times New Roman Bold" w:hAnsi="Times New Roman Bold" w:eastAsia="Helvetica Neue" w:cs="Times New Roman Bold"/>
          <w:b/>
          <w:bCs/>
          <w:color w:val="0F1115"/>
          <w:sz w:val="21"/>
          <w:szCs w:val="21"/>
          <w:shd w:val="clear" w:color="auto" w:fill="FFFFFF"/>
        </w:rPr>
      </w:pPr>
      <w:r>
        <w:rPr>
          <w:rFonts w:ascii="Times New Roman Bold" w:hAnsi="Times New Roman Bold" w:eastAsia="Helvetica Neue" w:cs="Times New Roman Bold"/>
          <w:b/>
          <w:bCs/>
          <w:color w:val="0F1115"/>
          <w:sz w:val="21"/>
          <w:szCs w:val="21"/>
          <w:shd w:val="clear" w:color="auto" w:fill="FFFFFF"/>
        </w:rPr>
        <w:t>Step3_cal_OHC_TS_ensemble_mean_std.py</w:t>
      </w:r>
    </w:p>
    <w:p w14:paraId="652B8AC9">
      <w:pPr>
        <w:pStyle w:val="12"/>
        <w:spacing w:line="360" w:lineRule="auto"/>
        <w:ind w:right="880"/>
        <w:jc w:val="both"/>
        <w:rPr>
          <w:rFonts w:ascii="Times New Roman Regular" w:hAnsi="Times New Roman Regular" w:cs="Times New Roman Regular"/>
          <w:sz w:val="21"/>
          <w:szCs w:val="21"/>
        </w:rPr>
      </w:pPr>
      <w:r>
        <w:rPr>
          <w:rFonts w:ascii="Times New Roman Regular" w:hAnsi="Times New Roman Regular" w:eastAsia="Helvetica Neue" w:cs="Times New Roman Regular"/>
          <w:color w:val="0F1115"/>
          <w:sz w:val="21"/>
          <w:szCs w:val="21"/>
          <w:shd w:val="clear" w:color="auto" w:fill="FFFFFF"/>
        </w:rPr>
        <w:t>Calculates the time series of the ensemble mean, the 90 % confidence interval, and the standard deviation of the large ensemble members for ocean heat content.</w:t>
      </w:r>
    </w:p>
    <w:p w14:paraId="0FBC1A1F">
      <w:pPr>
        <w:pStyle w:val="12"/>
        <w:numPr>
          <w:ilvl w:val="0"/>
          <w:numId w:val="2"/>
        </w:numPr>
        <w:spacing w:line="360" w:lineRule="auto"/>
        <w:ind w:right="880"/>
        <w:rPr>
          <w:rFonts w:ascii="Times New Roman Bold" w:hAnsi="Times New Roman Bold" w:eastAsia="Helvetica Neue" w:cs="Times New Roman Bold"/>
          <w:b/>
          <w:bCs/>
          <w:color w:val="0F1115"/>
          <w:sz w:val="21"/>
          <w:szCs w:val="21"/>
          <w:shd w:val="clear" w:color="auto" w:fill="FFFFFF"/>
        </w:rPr>
      </w:pPr>
      <w:r>
        <w:rPr>
          <w:rFonts w:ascii="Times New Roman Bold" w:hAnsi="Times New Roman Bold" w:eastAsia="Helvetica Neue" w:cs="Times New Roman Bold"/>
          <w:b/>
          <w:bCs/>
          <w:color w:val="0F1115"/>
          <w:sz w:val="21"/>
          <w:szCs w:val="21"/>
          <w:shd w:val="clear" w:color="auto" w:fill="FFFFFF"/>
        </w:rPr>
        <w:t> Step4_cal_spatial_ensemble_OHC_grid_90CI.py</w:t>
      </w:r>
    </w:p>
    <w:p w14:paraId="10CC181E">
      <w:pPr>
        <w:pStyle w:val="12"/>
        <w:spacing w:line="360" w:lineRule="auto"/>
        <w:ind w:right="880"/>
        <w:jc w:val="both"/>
        <w:rPr>
          <w:rFonts w:ascii="Times New Roman Regular" w:hAnsi="Times New Roman Regular" w:cs="Times New Roman Regular"/>
          <w:sz w:val="21"/>
          <w:szCs w:val="21"/>
        </w:rPr>
      </w:pPr>
      <w:r>
        <w:rPr>
          <w:rFonts w:ascii="Times New Roman Regular" w:hAnsi="Times New Roman Regular" w:eastAsia="Helvetica Neue" w:cs="Times New Roman Regular"/>
          <w:color w:val="0F1115"/>
          <w:sz w:val="21"/>
          <w:szCs w:val="21"/>
          <w:shd w:val="clear" w:color="auto" w:fill="FFFFFF"/>
        </w:rPr>
        <w:t>Calculates the 90 % confidence interval width (5th–95th percentile range) of the 0–2000 m ocean heat content estimates on a decadal basis, for both global and hemispheric averages.</w:t>
      </w:r>
    </w:p>
    <w:p w14:paraId="0D58F604">
      <w:pPr>
        <w:pStyle w:val="12"/>
        <w:numPr>
          <w:ilvl w:val="0"/>
          <w:numId w:val="2"/>
        </w:numPr>
        <w:spacing w:line="360" w:lineRule="auto"/>
        <w:ind w:right="880"/>
        <w:rPr>
          <w:rFonts w:ascii="Times New Roman Bold" w:hAnsi="Times New Roman Bold" w:eastAsia="Helvetica Neue" w:cs="Times New Roman Bold"/>
          <w:b/>
          <w:bCs/>
          <w:color w:val="0F1115"/>
          <w:sz w:val="21"/>
          <w:szCs w:val="21"/>
          <w:shd w:val="clear" w:color="auto" w:fill="FFFFFF"/>
        </w:rPr>
      </w:pPr>
      <w:r>
        <w:rPr>
          <w:rFonts w:ascii="Times New Roman Bold" w:hAnsi="Times New Roman Bold" w:eastAsia="Helvetica Neue" w:cs="Times New Roman Bold"/>
          <w:b/>
          <w:bCs/>
          <w:color w:val="0F1115"/>
          <w:sz w:val="21"/>
          <w:szCs w:val="21"/>
          <w:shd w:val="clear" w:color="auto" w:fill="FFFFFF"/>
        </w:rPr>
        <w:t> Step5_cal_OHCT_EEI_TS_center6.py</w:t>
      </w:r>
    </w:p>
    <w:p w14:paraId="4B5D0667">
      <w:pPr>
        <w:pStyle w:val="12"/>
        <w:spacing w:line="360" w:lineRule="auto"/>
        <w:ind w:right="880"/>
        <w:jc w:val="both"/>
        <w:rPr>
          <w:rFonts w:ascii="Times New Roman Regular" w:hAnsi="Times New Roman Regular" w:cs="Times New Roman Regular"/>
          <w:sz w:val="21"/>
          <w:szCs w:val="21"/>
        </w:rPr>
      </w:pPr>
      <w:r>
        <w:rPr>
          <w:rFonts w:ascii="Times New Roman Regular" w:hAnsi="Times New Roman Regular" w:eastAsia="Helvetica Neue" w:cs="Times New Roman Regular"/>
          <w:color w:val="0F1115"/>
          <w:sz w:val="21"/>
          <w:szCs w:val="21"/>
          <w:shd w:val="clear" w:color="auto" w:fill="FFFFFF"/>
        </w:rPr>
        <w:t>Estimates the ocean heat content trend and its associated uncertainty, including the uncertainty of the heat content itself, the uncertainty of its rate of change, and the trend of the heat content.</w:t>
      </w:r>
    </w:p>
    <w:p w14:paraId="37F836CC">
      <w:pPr>
        <w:pStyle w:val="12"/>
        <w:numPr>
          <w:ilvl w:val="0"/>
          <w:numId w:val="2"/>
        </w:numPr>
        <w:spacing w:line="360" w:lineRule="auto"/>
        <w:ind w:right="880"/>
        <w:rPr>
          <w:rFonts w:ascii="Times New Roman Bold" w:hAnsi="Times New Roman Bold" w:eastAsia="Helvetica Neue" w:cs="Times New Roman Bold"/>
          <w:b/>
          <w:bCs/>
          <w:color w:val="0F1115"/>
          <w:sz w:val="21"/>
          <w:szCs w:val="21"/>
          <w:shd w:val="clear" w:color="auto" w:fill="FFFFFF"/>
        </w:rPr>
      </w:pPr>
      <w:r>
        <w:rPr>
          <w:rFonts w:ascii="Times New Roman Bold" w:hAnsi="Times New Roman Bold" w:eastAsia="Helvetica Neue" w:cs="Times New Roman Bold"/>
          <w:b/>
          <w:bCs/>
          <w:color w:val="0F1115"/>
          <w:sz w:val="21"/>
          <w:szCs w:val="21"/>
          <w:shd w:val="clear" w:color="auto" w:fill="FFFFFF"/>
        </w:rPr>
        <w:t> Step6_cal_dOHCdt_dFS_EEI_timeseries_monthly.py</w:t>
      </w:r>
    </w:p>
    <w:p w14:paraId="5F12732D">
      <w:pPr>
        <w:pStyle w:val="12"/>
        <w:spacing w:line="360" w:lineRule="auto"/>
        <w:ind w:right="880"/>
        <w:jc w:val="both"/>
      </w:pPr>
      <w:r>
        <w:rPr>
          <w:rFonts w:ascii="Times New Roman Regular" w:hAnsi="Times New Roman Regular" w:eastAsia="Helvetica Neue" w:cs="Times New Roman Regular"/>
          <w:color w:val="0F1115"/>
          <w:sz w:val="21"/>
          <w:szCs w:val="21"/>
          <w:shd w:val="clear" w:color="auto" w:fill="FFFFFF"/>
        </w:rPr>
        <w:t>Calculates and compares multiple Earth energy budget metrics, including the ocean heating rate, the Earth’s energy imbalance, and the surface heat flux, on a monthly timescale.</w:t>
      </w:r>
    </w:p>
    <w:p w14:paraId="7409A5CA">
      <w:pPr>
        <w:spacing w:line="360" w:lineRule="auto"/>
        <w:contextualSpacing/>
        <w:rPr>
          <w:rFonts w:ascii="Times New Roman" w:hAnsi="Times New Roman" w:cs="Times New Roman"/>
          <w:sz w:val="21"/>
          <w:szCs w:val="21"/>
        </w:rPr>
      </w:pPr>
    </w:p>
    <w:p w14:paraId="312A3E74">
      <w:pPr>
        <w:pStyle w:val="32"/>
        <w:numPr>
          <w:ilvl w:val="0"/>
          <w:numId w:val="1"/>
        </w:numPr>
        <w:spacing w:after="0" w:line="360" w:lineRule="auto"/>
        <w:rPr>
          <w:rFonts w:ascii="Times New Roman" w:hAnsi="Times New Roman" w:cs="Times New Roman"/>
          <w:sz w:val="21"/>
          <w:szCs w:val="21"/>
        </w:rPr>
      </w:pPr>
      <w:r>
        <w:rPr>
          <w:rFonts w:ascii="Times New Roman" w:hAnsi="Times New Roman" w:cs="Times New Roman"/>
          <w:sz w:val="21"/>
          <w:szCs w:val="21"/>
        </w:rPr>
        <w:t>D</w:t>
      </w:r>
      <w:r>
        <w:rPr>
          <w:rFonts w:hint="eastAsia" w:ascii="Times New Roman" w:hAnsi="Times New Roman" w:cs="Times New Roman"/>
          <w:sz w:val="21"/>
          <w:szCs w:val="21"/>
        </w:rPr>
        <w:t>ata visualization</w:t>
      </w:r>
    </w:p>
    <w:p w14:paraId="7FAC8203">
      <w:pPr>
        <w:pStyle w:val="12"/>
        <w:spacing w:line="360" w:lineRule="auto"/>
        <w:jc w:val="both"/>
        <w:rPr>
          <w:rFonts w:ascii="Times New Roman" w:hAnsi="Times New Roman" w:cs="Times New Roman"/>
          <w:sz w:val="21"/>
          <w:szCs w:val="21"/>
        </w:rPr>
      </w:pPr>
      <w:r>
        <w:rPr>
          <w:rFonts w:hint="eastAsia" w:ascii="Times New Roman" w:hAnsi="Times New Roman" w:cs="Times New Roman"/>
          <w:sz w:val="21"/>
          <w:szCs w:val="21"/>
        </w:rPr>
        <w:t>All figures presented in this study were generated using Python3 and associated open</w:t>
      </w:r>
      <w:r>
        <w:rPr>
          <w:rFonts w:hint="eastAsia" w:ascii="Times New Roman" w:hAnsi="Times New Roman" w:cs="Times New Roman"/>
          <w:sz w:val="21"/>
          <w:szCs w:val="21"/>
          <w:lang w:val="en-US" w:eastAsia="zh-CN"/>
        </w:rPr>
        <w:t xml:space="preserve"> </w:t>
      </w:r>
      <w:r>
        <w:rPr>
          <w:rFonts w:hint="eastAsia" w:ascii="Times New Roman" w:hAnsi="Times New Roman" w:cs="Times New Roman"/>
          <w:sz w:val="21"/>
          <w:szCs w:val="21"/>
        </w:rPr>
        <w:t>source libraries. The relevant data and code are publicly available at:</w:t>
      </w:r>
    </w:p>
    <w:p w14:paraId="6718BE61">
      <w:pPr>
        <w:pStyle w:val="12"/>
        <w:spacing w:line="360" w:lineRule="auto"/>
        <w:rPr>
          <w:rFonts w:ascii="Times New Roman Regular" w:hAnsi="Times New Roman Regular" w:cs="Times New Roman Regular"/>
          <w:b w:val="0"/>
          <w:bCs w:val="0"/>
          <w:sz w:val="21"/>
          <w:szCs w:val="21"/>
        </w:rPr>
      </w:pPr>
      <w:r>
        <w:rPr>
          <w:rFonts w:ascii="Times New Roman Regular" w:hAnsi="Times New Roman Regular" w:eastAsia="Helvetica Neue" w:cs="Times New Roman Regular"/>
          <w:b w:val="0"/>
          <w:bCs w:val="0"/>
          <w:color w:val="0F1115"/>
          <w:sz w:val="21"/>
          <w:szCs w:val="21"/>
          <w:shd w:val="clear" w:color="auto" w:fill="FFFFFF"/>
        </w:rPr>
        <w:t>Online repository: </w:t>
      </w:r>
      <w:r>
        <w:rPr>
          <w:b w:val="0"/>
          <w:bCs w:val="0"/>
        </w:rPr>
        <w:fldChar w:fldCharType="begin"/>
      </w:r>
      <w:r>
        <w:rPr>
          <w:b w:val="0"/>
          <w:bCs w:val="0"/>
        </w:rPr>
        <w:instrText xml:space="preserve"> HYPERLINK "http://www.ocean.iap.ac.cn/ftp/ensemble/code/" \t "/Users/huifengyuan/Documents\x/_blank" </w:instrText>
      </w:r>
      <w:r>
        <w:rPr>
          <w:b w:val="0"/>
          <w:bCs w:val="0"/>
        </w:rPr>
        <w:fldChar w:fldCharType="separate"/>
      </w:r>
      <w:r>
        <w:rPr>
          <w:rStyle w:val="17"/>
          <w:rFonts w:ascii="Times New Roman Regular" w:hAnsi="Times New Roman Regular" w:eastAsia="Helvetica Neue" w:cs="Times New Roman Regular"/>
          <w:b w:val="0"/>
          <w:bCs w:val="0"/>
          <w:color w:val="3964FE"/>
          <w:sz w:val="21"/>
          <w:szCs w:val="21"/>
          <w:u w:val="none"/>
          <w:shd w:val="clear" w:color="auto" w:fill="FFFFFF"/>
        </w:rPr>
        <w:t>http://www.ocean.iap.ac.cn/ftp/ensemble/code/</w:t>
      </w:r>
      <w:r>
        <w:rPr>
          <w:rStyle w:val="17"/>
          <w:rFonts w:ascii="Times New Roman Regular" w:hAnsi="Times New Roman Regular" w:eastAsia="Helvetica Neue" w:cs="Times New Roman Regular"/>
          <w:b w:val="0"/>
          <w:bCs w:val="0"/>
          <w:color w:val="3964FE"/>
          <w:sz w:val="21"/>
          <w:szCs w:val="21"/>
          <w:u w:val="none"/>
          <w:shd w:val="clear" w:color="auto" w:fill="FFFFFF"/>
        </w:rPr>
        <w:fldChar w:fldCharType="end"/>
      </w:r>
    </w:p>
    <w:p w14:paraId="70617CA2">
      <w:pPr>
        <w:pStyle w:val="12"/>
        <w:spacing w:line="360" w:lineRule="auto"/>
        <w:rPr>
          <w:rFonts w:ascii="Times New Roman" w:hAnsi="Times New Roman" w:cs="Times New Roman"/>
          <w:b w:val="0"/>
          <w:bCs w:val="0"/>
          <w:sz w:val="21"/>
          <w:szCs w:val="21"/>
        </w:rPr>
      </w:pPr>
      <w:r>
        <w:rPr>
          <w:rFonts w:ascii="Times New Roman Regular" w:hAnsi="Times New Roman Regular" w:eastAsia="Helvetica Neue" w:cs="Times New Roman Regular"/>
          <w:b w:val="0"/>
          <w:bCs w:val="0"/>
          <w:color w:val="0F1115"/>
          <w:sz w:val="21"/>
          <w:szCs w:val="21"/>
          <w:shd w:val="clear" w:color="auto" w:fill="FFFFFF"/>
        </w:rPr>
        <w:t>Local backup: The </w:t>
      </w:r>
      <w:r>
        <w:rPr>
          <w:rStyle w:val="18"/>
          <w:rFonts w:ascii="Times New Roman Regular" w:hAnsi="Times New Roman Regular" w:eastAsia="Menlo" w:cs="Times New Roman Regular"/>
          <w:b w:val="0"/>
          <w:bCs w:val="0"/>
          <w:color w:val="0F1115"/>
          <w:sz w:val="21"/>
          <w:szCs w:val="21"/>
        </w:rPr>
        <w:t>Code/</w:t>
      </w:r>
      <w:r>
        <w:rPr>
          <w:rFonts w:ascii="Times New Roman Regular" w:hAnsi="Times New Roman Regular" w:eastAsia="Helvetica Neue" w:cs="Times New Roman Regular"/>
          <w:b w:val="0"/>
          <w:bCs w:val="0"/>
          <w:color w:val="0F1115"/>
          <w:sz w:val="21"/>
          <w:szCs w:val="21"/>
        </w:rPr>
        <w:t> </w:t>
      </w:r>
      <w:r>
        <w:rPr>
          <w:rFonts w:ascii="Times New Roman Regular" w:hAnsi="Times New Roman Regular" w:eastAsia="Helvetica Neue" w:cs="Times New Roman Regular"/>
          <w:b w:val="0"/>
          <w:bCs w:val="0"/>
          <w:color w:val="0F1115"/>
          <w:sz w:val="21"/>
          <w:szCs w:val="21"/>
          <w:shd w:val="clear" w:color="auto" w:fill="FFFFFF"/>
        </w:rPr>
        <w:t>folder</w:t>
      </w:r>
    </w:p>
    <w:p w14:paraId="1830B49E">
      <w:pPr>
        <w:numPr>
          <w:ilvl w:val="0"/>
          <w:numId w:val="3"/>
        </w:numPr>
        <w:spacing w:line="360" w:lineRule="auto"/>
        <w:ind w:left="0" w:firstLine="0"/>
        <w:contextualSpacing/>
        <w:rPr>
          <w:rFonts w:ascii="Times New Roman Bold" w:hAnsi="Times New Roman Bold" w:cs="Times New Roman Bold"/>
          <w:b/>
          <w:bCs/>
          <w:sz w:val="21"/>
          <w:szCs w:val="21"/>
        </w:rPr>
      </w:pPr>
      <w:r>
        <w:rPr>
          <w:rFonts w:ascii="Times New Roman Bold" w:hAnsi="Times New Roman Bold" w:cs="Times New Roman Bold"/>
          <w:b/>
          <w:bCs/>
          <w:sz w:val="21"/>
          <w:szCs w:val="21"/>
        </w:rPr>
        <w:t>Fig2a_plot_OHC_TS_ensemble_mean_std.py</w:t>
      </w:r>
    </w:p>
    <w:p w14:paraId="3A364248">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 xml:space="preserve">Figure 2a in manuscript. Global upper 300 m, 700 m and 2000 m OHC estimate by IAP data (central estimate) and its uncertainty envelope (5%-95% quantile of the large ensemble computed on an annual basis), relative to a 2010-2023 baseline. </w:t>
      </w:r>
    </w:p>
    <w:p w14:paraId="538FB57D">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Fig2b_plot_source_err_TS_8error_source.py</w:t>
      </w:r>
    </w:p>
    <w:p w14:paraId="0C6E2ABE">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2b in manuscript. OHC0-2000 m uncertainty from 8 major error contributions (colored lines) and the total uncertainty estimated from the large-ensemble (5%</w:t>
      </w:r>
      <w:r>
        <w:rPr>
          <w:rFonts w:hint="eastAsia" w:ascii="Times New Roman" w:hAnsi="Times New Roman" w:cs="Times New Roman"/>
          <w:sz w:val="21"/>
          <w:szCs w:val="21"/>
          <w:lang w:val="en-US" w:eastAsia="zh-CN"/>
        </w:rPr>
        <w:t>-</w:t>
      </w:r>
      <w:r>
        <w:rPr>
          <w:rFonts w:hint="eastAsia" w:ascii="Times New Roman" w:hAnsi="Times New Roman" w:cs="Times New Roman"/>
          <w:sz w:val="21"/>
          <w:szCs w:val="21"/>
        </w:rPr>
        <w:t>95% quantile range estimated on an annual basis), compared with the ±1.64 standard deviation range.</w:t>
      </w:r>
    </w:p>
    <w:p w14:paraId="6D3204D5">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Fig2c_plot_source_err_TS_8error_source_var.py</w:t>
      </w:r>
    </w:p>
    <w:p w14:paraId="11769156">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2c in manuscript. Global OHC0-2000m variance and covariance time series from 1955 to 2023, including the variance of various error sources, their sum, the total variance of the large ensemble, and the covariance term.</w:t>
      </w:r>
    </w:p>
    <w:p w14:paraId="0533416C">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Fig2d_plot_source_err_TS_8error_source_var_Proportion.py</w:t>
      </w:r>
    </w:p>
    <w:p w14:paraId="4C7394D0">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2d in manuscript. Fractional contributions of different error sources and covariance to the total variance of global OHC0</w:t>
      </w:r>
      <w:r>
        <w:rPr>
          <w:rFonts w:ascii="Times New Roman" w:hAnsi="Times New Roman" w:cs="Times New Roman"/>
          <w:sz w:val="21"/>
          <w:szCs w:val="21"/>
        </w:rPr>
        <w:t>-</w:t>
      </w:r>
      <w:r>
        <w:rPr>
          <w:rFonts w:hint="eastAsia" w:ascii="Times New Roman" w:hAnsi="Times New Roman" w:cs="Times New Roman"/>
          <w:sz w:val="21"/>
          <w:szCs w:val="21"/>
        </w:rPr>
        <w:t xml:space="preserve">2000m estimates. </w:t>
      </w:r>
    </w:p>
    <w:p w14:paraId="27933EBE">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Fig3_plot_8error_covariance.py</w:t>
      </w:r>
    </w:p>
    <w:p w14:paraId="7E8A1E51">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3 in manuscript. The variance-covariance matrix for global OHC0-2000m and dOHC/dt uncertainty estimated by Large-Ensemble from 1955 to 2023.</w:t>
      </w:r>
    </w:p>
    <w:p w14:paraId="24DA15C5">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Fig4_plot_spatial_ensemble_OHC_grid_90CI.py</w:t>
      </w:r>
    </w:p>
    <w:p w14:paraId="59AE3E6E">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 xml:space="preserve">Figure 4 in manuscript. Regional total uncertainty for OHC0-2000m derived by the </w:t>
      </w:r>
      <w:r>
        <w:rPr>
          <w:rFonts w:hint="eastAsia" w:ascii="Times New Roman" w:hAnsi="Times New Roman" w:cs="Times New Roman"/>
          <w:sz w:val="21"/>
          <w:szCs w:val="21"/>
          <w:lang w:val="en-US" w:eastAsia="zh-CN"/>
        </w:rPr>
        <w:t>L</w:t>
      </w:r>
      <w:r>
        <w:rPr>
          <w:rFonts w:hint="eastAsia" w:ascii="Times New Roman" w:hAnsi="Times New Roman" w:cs="Times New Roman"/>
          <w:sz w:val="21"/>
          <w:szCs w:val="21"/>
        </w:rPr>
        <w:t>arge-</w:t>
      </w:r>
      <w:r>
        <w:rPr>
          <w:rFonts w:hint="eastAsia" w:ascii="Times New Roman" w:hAnsi="Times New Roman" w:cs="Times New Roman"/>
          <w:sz w:val="21"/>
          <w:szCs w:val="21"/>
          <w:lang w:val="en-US" w:eastAsia="zh-CN"/>
        </w:rPr>
        <w:t>E</w:t>
      </w:r>
      <w:r>
        <w:rPr>
          <w:rFonts w:hint="eastAsia" w:ascii="Times New Roman" w:hAnsi="Times New Roman" w:cs="Times New Roman"/>
          <w:sz w:val="21"/>
          <w:szCs w:val="21"/>
        </w:rPr>
        <w:t>nsemble approach in each decade since 1955.</w:t>
      </w:r>
    </w:p>
    <w:p w14:paraId="5787FE71">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Fig5_plot_8error_source_max_idx_grid_global_robinson.py</w:t>
      </w:r>
    </w:p>
    <w:p w14:paraId="5421574F">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5 in manuscript. The first and second largest contributors of the regional OHC0-2000 estimates in each grid for different decades.</w:t>
      </w:r>
    </w:p>
    <w:p w14:paraId="3EB01AED">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Fig6a_plot_source_err_Trend_8error_source.py</w:t>
      </w:r>
    </w:p>
    <w:p w14:paraId="2116C281">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 xml:space="preserve">Figure 6a in manuscript. Uncertainty of the OHC0-2000 trend over different periods: 1960-2023, 1960-1990, 1991-2023, and 2005-2023, compared with the sum of uncertainties from different error sources. </w:t>
      </w:r>
    </w:p>
    <w:p w14:paraId="0B7AA5CB">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Fig6b_plot_dOHCdt_dFS_EEI_timeseries_monthly_update.py</w:t>
      </w:r>
    </w:p>
    <w:p w14:paraId="6BBC19EF">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6b in manuscript. Ocean heating rate estimated by full-depth dOHC/dt, blue shading for [5%, 95%] range with blue line for the ensemble mean estimate compared with the 0.9×CERES-EEI data, two oceanic Fs and the sum of dAE/dt and dOHC/dt, which are mean-aligned to dOHC/dt by removing the mean difference over 2005</w:t>
      </w:r>
      <w:r>
        <w:rPr>
          <w:rFonts w:ascii="Times New Roman" w:hAnsi="Times New Roman" w:cs="Times New Roman"/>
          <w:sz w:val="21"/>
          <w:szCs w:val="21"/>
        </w:rPr>
        <w:t>-</w:t>
      </w:r>
      <w:r>
        <w:rPr>
          <w:rFonts w:hint="eastAsia" w:ascii="Times New Roman" w:hAnsi="Times New Roman" w:cs="Times New Roman"/>
          <w:sz w:val="21"/>
          <w:szCs w:val="21"/>
        </w:rPr>
        <w:t>2023.</w:t>
      </w:r>
    </w:p>
    <w:p w14:paraId="0C94A096">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Fig6c_plot_dOHCdt_monthly_ensemble_8error_source.py</w:t>
      </w:r>
    </w:p>
    <w:p w14:paraId="399E2869">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6c in manuscript. Uncertainty of the annual full-depth OHC rate. The contributions of different error groups are shown in different colors. dOHC/dt is calculated by the difference between the average values of the preceding and following twelve months, and the resultant time series is smoothed by a 15-month running mean to reduce the month-to-month noise.</w:t>
      </w:r>
    </w:p>
    <w:p w14:paraId="79665FC8">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Fig6d_plot_OHC_integrate_EEI_FS_TS.py</w:t>
      </w:r>
    </w:p>
    <w:p w14:paraId="1E968201">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6d in manuscript. Same as (b) but for the detrended full-depth OHC, the detrended sum of full-depth OHC and AHC, time-integrated CERES observations at TOA (detrended), and time-integrated global ocean Fs for 2005-2023 period (detrended).</w:t>
      </w:r>
    </w:p>
    <w:p w14:paraId="0311A9B8">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Fig7_plot_ensemble_OHC_trend_err_90CI_grid_4period.py</w:t>
      </w:r>
    </w:p>
    <w:p w14:paraId="78BD9BED">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7 in manuscript. OHC trend uncertainty over different periods: 1960-2023, 1960-1990, 1991-2023, and 2005-2023.</w:t>
      </w:r>
    </w:p>
    <w:p w14:paraId="32424DB8">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FigS1_plot_ohc_std_vs_ensemble_number.py</w:t>
      </w:r>
    </w:p>
    <w:p w14:paraId="7B27019F">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S1 in supplementary. Global OHC0-2000m shown as the 5-95% percentile error range and twice 1.64 times the standard deviation estimates as functions of ensemble sample size for several years.</w:t>
      </w:r>
    </w:p>
    <w:p w14:paraId="2EF2DAC2">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FigS2_plot_Number_of_each_step_bar_graph_used.py</w:t>
      </w:r>
    </w:p>
    <w:p w14:paraId="4AE43059">
      <w:pPr>
        <w:spacing w:line="360" w:lineRule="auto"/>
        <w:contextualSpacing/>
        <w:rPr>
          <w:rFonts w:ascii="Times New Roman" w:hAnsi="Times New Roman" w:cs="Times New Roman"/>
          <w:sz w:val="21"/>
          <w:szCs w:val="21"/>
        </w:rPr>
      </w:pPr>
      <w:r>
        <w:rPr>
          <w:rFonts w:hint="eastAsia" w:ascii="Times New Roman" w:hAnsi="Times New Roman" w:cs="Times New Roman"/>
          <w:sz w:val="21"/>
          <w:szCs w:val="21"/>
        </w:rPr>
        <w:t>Figure S2 in supplementary. Statistics on the use of each technique in large-ensemble.</w:t>
      </w:r>
    </w:p>
    <w:p w14:paraId="56BE5B45">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FigS3_plot_OHC_TS_ensemble_err_range.py</w:t>
      </w:r>
    </w:p>
    <w:p w14:paraId="17FFB315">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S3 in supplementary. Distributions of the ensemble members in some years since 1955. The blue curves denote normal distribution fits of the ensemble members. The black dashed lines denote the [5%, 95%] range, and the orange dashed lines represent the mean ±1.64 standard deviations. The magenta triangles indicate the IAPv4 estimates.</w:t>
      </w:r>
    </w:p>
    <w:p w14:paraId="70F71145">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FigS4_plot_OHC0_700m_2000m.py</w:t>
      </w:r>
    </w:p>
    <w:p w14:paraId="32E81152">
      <w:pPr>
        <w:spacing w:line="360" w:lineRule="auto"/>
        <w:contextualSpacing/>
        <w:rPr>
          <w:rFonts w:ascii="Times New Roman" w:hAnsi="Times New Roman" w:cs="Times New Roman"/>
          <w:sz w:val="21"/>
          <w:szCs w:val="21"/>
        </w:rPr>
      </w:pPr>
      <w:r>
        <w:rPr>
          <w:rFonts w:hint="eastAsia" w:ascii="Times New Roman" w:hAnsi="Times New Roman" w:cs="Times New Roman"/>
          <w:sz w:val="21"/>
          <w:szCs w:val="21"/>
        </w:rPr>
        <w:t>Figure S4 in supplementary. Same as Figure 2b but for OHC0-700m and OHC700-2000m.</w:t>
      </w:r>
    </w:p>
    <w:p w14:paraId="491DACCD">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FigS5_plot_ohc_spatial_2000m_robinson.py</w:t>
      </w:r>
    </w:p>
    <w:p w14:paraId="0BD8920B">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S4 in supplementary. Spatial distribution of the difference in OHC0-2000m between the CODC-QC-based and WOD-QC-based estimates averaged over the period 2005</w:t>
      </w:r>
      <w:r>
        <w:rPr>
          <w:rFonts w:ascii="Times New Roman" w:hAnsi="Times New Roman" w:cs="Times New Roman"/>
          <w:sz w:val="21"/>
          <w:szCs w:val="21"/>
        </w:rPr>
        <w:t>-</w:t>
      </w:r>
      <w:r>
        <w:rPr>
          <w:rFonts w:hint="eastAsia" w:ascii="Times New Roman" w:hAnsi="Times New Roman" w:cs="Times New Roman"/>
          <w:sz w:val="21"/>
          <w:szCs w:val="21"/>
        </w:rPr>
        <w:t>2023.</w:t>
      </w:r>
    </w:p>
    <w:p w14:paraId="39AD01C4">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FigS6_plot_Comparison_tem_ano_dis_within_2015_2023.py</w:t>
      </w:r>
    </w:p>
    <w:p w14:paraId="5F040BEC">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S6 in supplementary. Comparison of temperature anomaly distributions within 2015</w:t>
      </w:r>
      <w:r>
        <w:rPr>
          <w:rFonts w:ascii="Times New Roman" w:hAnsi="Times New Roman" w:cs="Times New Roman"/>
          <w:sz w:val="21"/>
          <w:szCs w:val="21"/>
        </w:rPr>
        <w:t>-</w:t>
      </w:r>
      <w:r>
        <w:rPr>
          <w:rFonts w:hint="eastAsia" w:ascii="Times New Roman" w:hAnsi="Times New Roman" w:cs="Times New Roman"/>
          <w:sz w:val="21"/>
          <w:szCs w:val="21"/>
        </w:rPr>
        <w:t>2023 for all in situ data, data after WOD-QC, and CODC-QC in the Northwest Pacific Ocean.</w:t>
      </w:r>
    </w:p>
    <w:p w14:paraId="49422598">
      <w:pPr>
        <w:numPr>
          <w:ilvl w:val="0"/>
          <w:numId w:val="3"/>
        </w:numPr>
        <w:spacing w:line="360" w:lineRule="auto"/>
        <w:ind w:left="0" w:firstLine="0"/>
        <w:contextualSpacing/>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FigS7_plot_8error_source_value_grid_global_robinson.py</w:t>
      </w:r>
    </w:p>
    <w:p w14:paraId="66032164">
      <w:pPr>
        <w:spacing w:line="360" w:lineRule="auto"/>
        <w:contextualSpacing/>
        <w:jc w:val="both"/>
        <w:rPr>
          <w:rFonts w:ascii="Times New Roman" w:hAnsi="Times New Roman" w:cs="Times New Roman"/>
          <w:sz w:val="21"/>
          <w:szCs w:val="21"/>
        </w:rPr>
      </w:pPr>
      <w:r>
        <w:rPr>
          <w:rFonts w:hint="eastAsia" w:ascii="Times New Roman" w:hAnsi="Times New Roman" w:cs="Times New Roman"/>
          <w:sz w:val="21"/>
          <w:szCs w:val="21"/>
        </w:rPr>
        <w:t>Figure S7-S14 in supplementary. 10-year mean mapping and instrumental uncertainties of OHC0</w:t>
      </w:r>
      <w:r>
        <w:rPr>
          <w:rFonts w:hint="eastAsia" w:ascii="Times New Roman" w:hAnsi="Times New Roman" w:cs="Times New Roman"/>
          <w:sz w:val="21"/>
          <w:szCs w:val="21"/>
          <w:lang w:val="en-US" w:eastAsia="zh-CN"/>
        </w:rPr>
        <w:t>-</w:t>
      </w:r>
      <w:r>
        <w:rPr>
          <w:rFonts w:hint="eastAsia" w:ascii="Times New Roman" w:hAnsi="Times New Roman" w:cs="Times New Roman"/>
          <w:sz w:val="21"/>
          <w:szCs w:val="21"/>
        </w:rPr>
        <w:t>2000 m estimated from the IAP mapping method, climatology choice, XBT bias correction, APB bias correction, MBT bias correction, BOT bias correction, vertical interpolation and quality control.</w:t>
      </w:r>
    </w:p>
    <w:p w14:paraId="3CF07A15">
      <w:pPr>
        <w:spacing w:line="360" w:lineRule="auto"/>
        <w:contextualSpacing/>
        <w:rPr>
          <w:rFonts w:ascii="Times New Roman" w:hAnsi="Times New Roman" w:cs="Times New Roman"/>
          <w:sz w:val="21"/>
          <w:szCs w:val="21"/>
        </w:rPr>
      </w:pPr>
    </w:p>
    <w:p w14:paraId="7D993932">
      <w:pPr>
        <w:pStyle w:val="32"/>
        <w:numPr>
          <w:ilvl w:val="0"/>
          <w:numId w:val="1"/>
        </w:numPr>
        <w:spacing w:after="0" w:line="360" w:lineRule="auto"/>
        <w:rPr>
          <w:rFonts w:ascii="Times New Roman" w:hAnsi="Times New Roman" w:cs="Times New Roman"/>
          <w:sz w:val="21"/>
          <w:szCs w:val="21"/>
        </w:rPr>
      </w:pPr>
      <w:r>
        <w:rPr>
          <w:rFonts w:ascii="Times New Roman" w:hAnsi="Times New Roman" w:cs="Times New Roman"/>
          <w:sz w:val="21"/>
          <w:szCs w:val="21"/>
        </w:rPr>
        <w:t>Source figure</w:t>
      </w:r>
    </w:p>
    <w:p w14:paraId="3C4515B2">
      <w:pPr>
        <w:spacing w:line="360" w:lineRule="auto"/>
        <w:contextualSpacing/>
        <w:rPr>
          <w:rFonts w:ascii="Times New Roman" w:hAnsi="Times New Roman" w:cs="Times New Roman"/>
          <w:sz w:val="21"/>
          <w:szCs w:val="21"/>
        </w:rPr>
      </w:pPr>
      <w:r>
        <w:rPr>
          <w:rFonts w:hint="eastAsia" w:ascii="Times New Roman" w:hAnsi="Times New Roman" w:cs="Times New Roman"/>
          <w:sz w:val="21"/>
          <w:szCs w:val="21"/>
        </w:rPr>
        <w:t>All source figures presented in this paper are stored</w:t>
      </w:r>
      <w:r>
        <w:rPr>
          <w:rFonts w:ascii="Times New Roman" w:hAnsi="Times New Roman" w:cs="Times New Roman"/>
          <w:sz w:val="21"/>
          <w:szCs w:val="21"/>
        </w:rPr>
        <w:t xml:space="preserve"> </w:t>
      </w:r>
      <w:r>
        <w:rPr>
          <w:rFonts w:hint="eastAsia" w:ascii="Times New Roman" w:hAnsi="Times New Roman" w:cs="Times New Roman"/>
          <w:sz w:val="21"/>
          <w:szCs w:val="21"/>
        </w:rPr>
        <w:t>in multiple formats, including *.ai, *.pdf, and *.ppt.</w:t>
      </w:r>
    </w:p>
    <w:p w14:paraId="014D8301">
      <w:pPr>
        <w:pStyle w:val="12"/>
        <w:spacing w:line="360" w:lineRule="auto"/>
        <w:rPr>
          <w:rFonts w:ascii="Times New Roman Regular" w:hAnsi="Times New Roman Regular" w:cs="Times New Roman Regular"/>
          <w:b w:val="0"/>
          <w:bCs w:val="0"/>
          <w:sz w:val="21"/>
          <w:szCs w:val="21"/>
        </w:rPr>
      </w:pPr>
      <w:r>
        <w:rPr>
          <w:rFonts w:ascii="Times New Roman Regular" w:hAnsi="Times New Roman Regular" w:eastAsia="Helvetica Neue" w:cs="Times New Roman Regular"/>
          <w:b w:val="0"/>
          <w:bCs w:val="0"/>
          <w:color w:val="0F1115"/>
          <w:sz w:val="21"/>
          <w:szCs w:val="21"/>
          <w:shd w:val="clear" w:color="auto" w:fill="FFFFFF"/>
        </w:rPr>
        <w:t>Online repository: </w:t>
      </w:r>
      <w:r>
        <w:rPr>
          <w:b w:val="0"/>
          <w:bCs w:val="0"/>
        </w:rPr>
        <w:fldChar w:fldCharType="begin"/>
      </w:r>
      <w:r>
        <w:rPr>
          <w:b w:val="0"/>
          <w:bCs w:val="0"/>
        </w:rPr>
        <w:instrText xml:space="preserve"> HYPERLINK "http://www.ocean.iap.ac.cn/ftp/ensemble/code/" \t "/Users/huifengyuan/Documents\x/_blank" </w:instrText>
      </w:r>
      <w:r>
        <w:rPr>
          <w:b w:val="0"/>
          <w:bCs w:val="0"/>
        </w:rPr>
        <w:fldChar w:fldCharType="separate"/>
      </w:r>
      <w:r>
        <w:rPr>
          <w:rStyle w:val="17"/>
          <w:rFonts w:ascii="Times New Roman Regular" w:hAnsi="Times New Roman Regular" w:eastAsia="Helvetica Neue" w:cs="Times New Roman Regular"/>
          <w:b w:val="0"/>
          <w:bCs w:val="0"/>
          <w:color w:val="3964FE"/>
          <w:sz w:val="21"/>
          <w:szCs w:val="21"/>
          <w:u w:val="none"/>
          <w:shd w:val="clear" w:color="auto" w:fill="FFFFFF"/>
        </w:rPr>
        <w:t>http://www.ocean.iap.ac.cn/ftp/ensemble/figure/</w:t>
      </w:r>
      <w:r>
        <w:rPr>
          <w:rStyle w:val="17"/>
          <w:rFonts w:ascii="Times New Roman Regular" w:hAnsi="Times New Roman Regular" w:eastAsia="Helvetica Neue" w:cs="Times New Roman Regular"/>
          <w:b w:val="0"/>
          <w:bCs w:val="0"/>
          <w:color w:val="3964FE"/>
          <w:sz w:val="21"/>
          <w:szCs w:val="21"/>
          <w:u w:val="none"/>
          <w:shd w:val="clear" w:color="auto" w:fill="FFFFFF"/>
        </w:rPr>
        <w:fldChar w:fldCharType="end"/>
      </w:r>
    </w:p>
    <w:p w14:paraId="1594FECA">
      <w:pPr>
        <w:pStyle w:val="12"/>
        <w:spacing w:line="360" w:lineRule="auto"/>
        <w:rPr>
          <w:rFonts w:ascii="Times New Roman" w:hAnsi="Times New Roman" w:cs="Times New Roman"/>
          <w:b w:val="0"/>
          <w:bCs w:val="0"/>
          <w:sz w:val="21"/>
          <w:szCs w:val="21"/>
        </w:rPr>
      </w:pPr>
      <w:r>
        <w:rPr>
          <w:rFonts w:ascii="Times New Roman Regular" w:hAnsi="Times New Roman Regular" w:eastAsia="Helvetica Neue" w:cs="Times New Roman Regular"/>
          <w:b w:val="0"/>
          <w:bCs w:val="0"/>
          <w:color w:val="0F1115"/>
          <w:sz w:val="21"/>
          <w:szCs w:val="21"/>
          <w:shd w:val="clear" w:color="auto" w:fill="FFFFFF"/>
        </w:rPr>
        <w:t>Local backup: The Figure</w:t>
      </w:r>
      <w:r>
        <w:rPr>
          <w:rStyle w:val="18"/>
          <w:rFonts w:ascii="Times New Roman Regular" w:hAnsi="Times New Roman Regular" w:eastAsia="Menlo" w:cs="Times New Roman Regular"/>
          <w:b w:val="0"/>
          <w:bCs w:val="0"/>
          <w:color w:val="0F1115"/>
          <w:sz w:val="21"/>
          <w:szCs w:val="21"/>
        </w:rPr>
        <w:t>/</w:t>
      </w:r>
      <w:r>
        <w:rPr>
          <w:rFonts w:ascii="Times New Roman Regular" w:hAnsi="Times New Roman Regular" w:eastAsia="Helvetica Neue" w:cs="Times New Roman Regular"/>
          <w:b w:val="0"/>
          <w:bCs w:val="0"/>
          <w:color w:val="0F1115"/>
          <w:sz w:val="21"/>
          <w:szCs w:val="21"/>
        </w:rPr>
        <w:t> </w:t>
      </w:r>
      <w:r>
        <w:rPr>
          <w:rFonts w:ascii="Times New Roman Regular" w:hAnsi="Times New Roman Regular" w:eastAsia="Helvetica Neue" w:cs="Times New Roman Regular"/>
          <w:b w:val="0"/>
          <w:bCs w:val="0"/>
          <w:color w:val="0F1115"/>
          <w:sz w:val="21"/>
          <w:szCs w:val="21"/>
          <w:shd w:val="clear" w:color="auto" w:fill="FFFFFF"/>
        </w:rPr>
        <w:t>folder</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Helvetica Neue">
    <w:panose1 w:val="02000503000000020004"/>
    <w:charset w:val="00"/>
    <w:family w:val="auto"/>
    <w:pitch w:val="default"/>
    <w:sig w:usb0="E50002FF" w:usb1="500079DB" w:usb2="00000010" w:usb3="00000000" w:csb0="00000000" w:csb1="00000000"/>
  </w:font>
  <w:font w:name="Menlo">
    <w:panose1 w:val="020B0609030804020204"/>
    <w:charset w:val="00"/>
    <w:family w:val="modern"/>
    <w:pitch w:val="default"/>
    <w:sig w:usb0="E60022FF" w:usb1="D200F9FB" w:usb2="02000028" w:usb3="00000000" w:csb0="600001DF" w:csb1="FFDF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0E2202"/>
    <w:multiLevelType w:val="singleLevel"/>
    <w:tmpl w:val="AD0E2202"/>
    <w:lvl w:ilvl="0" w:tentative="0">
      <w:start w:val="1"/>
      <w:numFmt w:val="decimal"/>
      <w:lvlText w:val="(%1)"/>
      <w:lvlJc w:val="left"/>
      <w:pPr>
        <w:tabs>
          <w:tab w:val="left" w:pos="312"/>
        </w:tabs>
      </w:pPr>
    </w:lvl>
  </w:abstractNum>
  <w:abstractNum w:abstractNumId="1">
    <w:nsid w:val="FF85D6C8"/>
    <w:multiLevelType w:val="singleLevel"/>
    <w:tmpl w:val="FF85D6C8"/>
    <w:lvl w:ilvl="0" w:tentative="0">
      <w:start w:val="1"/>
      <w:numFmt w:val="decimal"/>
      <w:lvlText w:val="(%1)"/>
      <w:lvlJc w:val="left"/>
      <w:pPr>
        <w:ind w:left="425" w:hanging="425"/>
      </w:pPr>
      <w:rPr>
        <w:rFonts w:hint="default"/>
      </w:rPr>
    </w:lvl>
  </w:abstractNum>
  <w:abstractNum w:abstractNumId="2">
    <w:nsid w:val="26583F58"/>
    <w:multiLevelType w:val="multilevel"/>
    <w:tmpl w:val="26583F58"/>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821"/>
    <w:rsid w:val="00043133"/>
    <w:rsid w:val="0009137B"/>
    <w:rsid w:val="000D1E61"/>
    <w:rsid w:val="00123378"/>
    <w:rsid w:val="00147EDB"/>
    <w:rsid w:val="001A1D01"/>
    <w:rsid w:val="001D1860"/>
    <w:rsid w:val="00292036"/>
    <w:rsid w:val="002C26FF"/>
    <w:rsid w:val="002F10FD"/>
    <w:rsid w:val="0034582D"/>
    <w:rsid w:val="004A3417"/>
    <w:rsid w:val="00523CE2"/>
    <w:rsid w:val="00570033"/>
    <w:rsid w:val="0069467F"/>
    <w:rsid w:val="006B0E1D"/>
    <w:rsid w:val="006D0BDB"/>
    <w:rsid w:val="006E101F"/>
    <w:rsid w:val="007479E6"/>
    <w:rsid w:val="007B098A"/>
    <w:rsid w:val="007E7821"/>
    <w:rsid w:val="007F241E"/>
    <w:rsid w:val="0082259E"/>
    <w:rsid w:val="00827437"/>
    <w:rsid w:val="00887D84"/>
    <w:rsid w:val="008D3D1E"/>
    <w:rsid w:val="0096672B"/>
    <w:rsid w:val="009E633B"/>
    <w:rsid w:val="00AE0D5F"/>
    <w:rsid w:val="00AE54A7"/>
    <w:rsid w:val="00B237E2"/>
    <w:rsid w:val="00B76BAE"/>
    <w:rsid w:val="00CA0CD2"/>
    <w:rsid w:val="00CD329D"/>
    <w:rsid w:val="00CD4A00"/>
    <w:rsid w:val="00D25AD5"/>
    <w:rsid w:val="00D3382D"/>
    <w:rsid w:val="00E12B3E"/>
    <w:rsid w:val="00FA721F"/>
    <w:rsid w:val="00FC1924"/>
    <w:rsid w:val="1FFF03D7"/>
    <w:rsid w:val="3EBF8BF7"/>
    <w:rsid w:val="5B5F9DE0"/>
    <w:rsid w:val="7AF7C47A"/>
    <w:rsid w:val="7BFB4488"/>
    <w:rsid w:val="7DF7332F"/>
    <w:rsid w:val="7FEE6950"/>
    <w:rsid w:val="D3FF291A"/>
    <w:rsid w:val="F5FF1812"/>
    <w:rsid w:val="FEACA0B4"/>
    <w:rsid w:val="FEFC68E4"/>
    <w:rsid w:val="FF6F1739"/>
    <w:rsid w:val="FF978EB7"/>
    <w:rsid w:val="FFAF1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widowControl w:val="0"/>
      <w:spacing w:before="480" w:after="80" w:line="278" w:lineRule="auto"/>
      <w:outlineLvl w:val="0"/>
    </w:pPr>
    <w:rPr>
      <w:rFonts w:asciiTheme="majorHAnsi" w:hAnsiTheme="majorHAnsi" w:eastAsiaTheme="majorEastAsia" w:cstheme="majorBidi"/>
      <w:color w:val="104862" w:themeColor="accent1" w:themeShade="BF"/>
      <w:kern w:val="2"/>
      <w:sz w:val="48"/>
      <w:szCs w:val="48"/>
      <w14:ligatures w14:val="standardContextual"/>
    </w:rPr>
  </w:style>
  <w:style w:type="paragraph" w:styleId="3">
    <w:name w:val="heading 2"/>
    <w:basedOn w:val="1"/>
    <w:next w:val="1"/>
    <w:link w:val="20"/>
    <w:semiHidden/>
    <w:unhideWhenUsed/>
    <w:qFormat/>
    <w:uiPriority w:val="9"/>
    <w:pPr>
      <w:keepNext/>
      <w:keepLines/>
      <w:widowControl w:val="0"/>
      <w:spacing w:before="160" w:after="80" w:line="278" w:lineRule="auto"/>
      <w:outlineLvl w:val="1"/>
    </w:pPr>
    <w:rPr>
      <w:rFonts w:asciiTheme="majorHAnsi" w:hAnsiTheme="majorHAnsi" w:eastAsiaTheme="majorEastAsia" w:cstheme="majorBidi"/>
      <w:color w:val="104862" w:themeColor="accent1" w:themeShade="BF"/>
      <w:kern w:val="2"/>
      <w:sz w:val="40"/>
      <w:szCs w:val="40"/>
      <w14:ligatures w14:val="standardContextual"/>
    </w:rPr>
  </w:style>
  <w:style w:type="paragraph" w:styleId="4">
    <w:name w:val="heading 3"/>
    <w:basedOn w:val="1"/>
    <w:next w:val="1"/>
    <w:link w:val="21"/>
    <w:semiHidden/>
    <w:unhideWhenUsed/>
    <w:qFormat/>
    <w:uiPriority w:val="9"/>
    <w:pPr>
      <w:keepNext/>
      <w:keepLines/>
      <w:widowControl w:val="0"/>
      <w:spacing w:before="160" w:after="80" w:line="278" w:lineRule="auto"/>
      <w:outlineLvl w:val="2"/>
    </w:pPr>
    <w:rPr>
      <w:rFonts w:asciiTheme="majorHAnsi" w:hAnsiTheme="majorHAnsi" w:eastAsiaTheme="majorEastAsia" w:cstheme="majorBidi"/>
      <w:color w:val="104862" w:themeColor="accent1" w:themeShade="BF"/>
      <w:kern w:val="2"/>
      <w:sz w:val="32"/>
      <w:szCs w:val="32"/>
      <w14:ligatures w14:val="standardContextual"/>
    </w:rPr>
  </w:style>
  <w:style w:type="paragraph" w:styleId="5">
    <w:name w:val="heading 4"/>
    <w:basedOn w:val="1"/>
    <w:next w:val="1"/>
    <w:link w:val="22"/>
    <w:semiHidden/>
    <w:unhideWhenUsed/>
    <w:qFormat/>
    <w:uiPriority w:val="9"/>
    <w:pPr>
      <w:keepNext/>
      <w:keepLines/>
      <w:widowControl w:val="0"/>
      <w:spacing w:before="80" w:after="40" w:line="278" w:lineRule="auto"/>
      <w:outlineLvl w:val="3"/>
    </w:pPr>
    <w:rPr>
      <w:rFonts w:asciiTheme="minorHAnsi" w:hAnsiTheme="minorHAnsi" w:eastAsiaTheme="minorEastAsia" w:cstheme="majorBidi"/>
      <w:color w:val="104862" w:themeColor="accent1" w:themeShade="BF"/>
      <w:kern w:val="2"/>
      <w:sz w:val="28"/>
      <w:szCs w:val="28"/>
      <w14:ligatures w14:val="standardContextual"/>
    </w:rPr>
  </w:style>
  <w:style w:type="paragraph" w:styleId="6">
    <w:name w:val="heading 5"/>
    <w:basedOn w:val="1"/>
    <w:next w:val="1"/>
    <w:link w:val="23"/>
    <w:semiHidden/>
    <w:unhideWhenUsed/>
    <w:qFormat/>
    <w:uiPriority w:val="9"/>
    <w:pPr>
      <w:keepNext/>
      <w:keepLines/>
      <w:widowControl w:val="0"/>
      <w:spacing w:before="80" w:after="40" w:line="278" w:lineRule="auto"/>
      <w:outlineLvl w:val="4"/>
    </w:pPr>
    <w:rPr>
      <w:rFonts w:asciiTheme="minorHAnsi" w:hAnsiTheme="minorHAnsi" w:eastAsiaTheme="minorEastAsia" w:cstheme="majorBidi"/>
      <w:color w:val="104862" w:themeColor="accent1" w:themeShade="BF"/>
      <w:kern w:val="2"/>
      <w14:ligatures w14:val="standardContextual"/>
    </w:rPr>
  </w:style>
  <w:style w:type="paragraph" w:styleId="7">
    <w:name w:val="heading 6"/>
    <w:basedOn w:val="1"/>
    <w:next w:val="1"/>
    <w:link w:val="24"/>
    <w:semiHidden/>
    <w:unhideWhenUsed/>
    <w:qFormat/>
    <w:uiPriority w:val="9"/>
    <w:pPr>
      <w:keepNext/>
      <w:keepLines/>
      <w:widowControl w:val="0"/>
      <w:spacing w:before="40" w:line="278" w:lineRule="auto"/>
      <w:outlineLvl w:val="5"/>
    </w:pPr>
    <w:rPr>
      <w:rFonts w:asciiTheme="minorHAnsi" w:hAnsiTheme="minorHAnsi" w:eastAsiaTheme="minorEastAsia" w:cstheme="majorBidi"/>
      <w:b/>
      <w:bCs/>
      <w:color w:val="104862" w:themeColor="accent1" w:themeShade="BF"/>
      <w:kern w:val="2"/>
      <w:sz w:val="22"/>
      <w14:ligatures w14:val="standardContextual"/>
    </w:rPr>
  </w:style>
  <w:style w:type="paragraph" w:styleId="8">
    <w:name w:val="heading 7"/>
    <w:basedOn w:val="1"/>
    <w:next w:val="1"/>
    <w:link w:val="25"/>
    <w:semiHidden/>
    <w:unhideWhenUsed/>
    <w:qFormat/>
    <w:uiPriority w:val="9"/>
    <w:pPr>
      <w:keepNext/>
      <w:keepLines/>
      <w:widowControl w:val="0"/>
      <w:spacing w:before="40" w:line="278" w:lineRule="auto"/>
      <w:outlineLvl w:val="6"/>
    </w:pPr>
    <w:rPr>
      <w:rFonts w:asciiTheme="minorHAnsi" w:hAnsiTheme="minorHAnsi" w:eastAsiaTheme="minorEastAsia" w:cstheme="majorBidi"/>
      <w:b/>
      <w:bCs/>
      <w:color w:val="595959" w:themeColor="text1" w:themeTint="A6"/>
      <w:kern w:val="2"/>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6"/>
    <w:semiHidden/>
    <w:unhideWhenUsed/>
    <w:qFormat/>
    <w:uiPriority w:val="9"/>
    <w:pPr>
      <w:keepNext/>
      <w:keepLines/>
      <w:widowControl w:val="0"/>
      <w:spacing w:line="278" w:lineRule="auto"/>
      <w:outlineLvl w:val="7"/>
    </w:pPr>
    <w:rPr>
      <w:rFonts w:asciiTheme="minorHAnsi" w:hAnsiTheme="minorHAnsi" w:eastAsiaTheme="minorEastAsia" w:cstheme="majorBidi"/>
      <w:color w:val="595959" w:themeColor="text1" w:themeTint="A6"/>
      <w:kern w:val="2"/>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7"/>
    <w:semiHidden/>
    <w:unhideWhenUsed/>
    <w:qFormat/>
    <w:uiPriority w:val="9"/>
    <w:pPr>
      <w:keepNext/>
      <w:keepLines/>
      <w:widowControl w:val="0"/>
      <w:spacing w:line="278" w:lineRule="auto"/>
      <w:outlineLvl w:val="8"/>
    </w:pPr>
    <w:rPr>
      <w:rFonts w:asciiTheme="minorHAnsi" w:hAnsiTheme="minorHAnsi" w:eastAsiaTheme="majorEastAsia" w:cstheme="majorBidi"/>
      <w:color w:val="595959" w:themeColor="text1" w:themeTint="A6"/>
      <w:kern w:val="2"/>
      <w:sz w:val="22"/>
      <w14:textFill>
        <w14:solidFill>
          <w14:schemeClr w14:val="tx1">
            <w14:lumMod w14:val="65000"/>
            <w14:lumOff w14:val="35000"/>
          </w14:schemeClr>
        </w14:solidFill>
      </w14:textFill>
      <w14:ligatures w14:val="standardContextual"/>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9"/>
    <w:qFormat/>
    <w:uiPriority w:val="11"/>
    <w:pPr>
      <w:widowControl w:val="0"/>
      <w:spacing w:after="160" w:line="278" w:lineRule="auto"/>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12">
    <w:name w:val="Normal (Web)"/>
    <w:basedOn w:val="1"/>
    <w:semiHidden/>
    <w:unhideWhenUsed/>
    <w:uiPriority w:val="99"/>
  </w:style>
  <w:style w:type="paragraph" w:styleId="13">
    <w:name w:val="Title"/>
    <w:basedOn w:val="1"/>
    <w:next w:val="1"/>
    <w:link w:val="28"/>
    <w:qFormat/>
    <w:uiPriority w:val="10"/>
    <w:pPr>
      <w:widowControl w:val="0"/>
      <w:spacing w:after="80"/>
      <w:contextualSpacing/>
      <w:jc w:val="center"/>
    </w:pPr>
    <w:rPr>
      <w:rFonts w:asciiTheme="majorHAnsi" w:hAnsiTheme="majorHAnsi" w:eastAsiaTheme="majorEastAsia" w:cstheme="majorBidi"/>
      <w:spacing w:val="-10"/>
      <w:kern w:val="28"/>
      <w:sz w:val="56"/>
      <w:szCs w:val="56"/>
      <w14:ligatures w14:val="standardContextual"/>
    </w:rPr>
  </w:style>
  <w:style w:type="table" w:styleId="15">
    <w:name w:val="Table Grid"/>
    <w:basedOn w:val="1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semiHidden/>
    <w:unhideWhenUsed/>
    <w:uiPriority w:val="99"/>
    <w:rPr>
      <w:color w:val="0000FF"/>
      <w:u w:val="single"/>
    </w:rPr>
  </w:style>
  <w:style w:type="character" w:styleId="18">
    <w:name w:val="HTML Code"/>
    <w:basedOn w:val="16"/>
    <w:semiHidden/>
    <w:unhideWhenUsed/>
    <w:uiPriority w:val="99"/>
    <w:rPr>
      <w:rFonts w:ascii="Courier New" w:hAnsi="Courier New"/>
      <w:sz w:val="20"/>
    </w:rPr>
  </w:style>
  <w:style w:type="character" w:customStyle="1" w:styleId="19">
    <w:name w:val="标题 1 字符"/>
    <w:basedOn w:val="16"/>
    <w:link w:val="2"/>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6"/>
    <w:link w:val="4"/>
    <w:semiHidden/>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6"/>
    <w:link w:val="5"/>
    <w:semiHidden/>
    <w:uiPriority w:val="9"/>
    <w:rPr>
      <w:rFonts w:cstheme="majorBidi"/>
      <w:color w:val="104862" w:themeColor="accent1" w:themeShade="BF"/>
      <w:sz w:val="28"/>
      <w:szCs w:val="28"/>
    </w:rPr>
  </w:style>
  <w:style w:type="character" w:customStyle="1" w:styleId="23">
    <w:name w:val="标题 5 字符"/>
    <w:basedOn w:val="16"/>
    <w:link w:val="6"/>
    <w:semiHidden/>
    <w:uiPriority w:val="9"/>
    <w:rPr>
      <w:rFonts w:cstheme="majorBidi"/>
      <w:color w:val="104862" w:themeColor="accent1" w:themeShade="BF"/>
      <w:sz w:val="24"/>
    </w:rPr>
  </w:style>
  <w:style w:type="character" w:customStyle="1" w:styleId="24">
    <w:name w:val="标题 6 字符"/>
    <w:basedOn w:val="16"/>
    <w:link w:val="7"/>
    <w:semiHidden/>
    <w:uiPriority w:val="9"/>
    <w:rPr>
      <w:rFonts w:cstheme="majorBidi"/>
      <w:b/>
      <w:bCs/>
      <w:color w:val="104862" w:themeColor="accent1" w:themeShade="BF"/>
    </w:rPr>
  </w:style>
  <w:style w:type="character" w:customStyle="1" w:styleId="25">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6"/>
    <w:link w:val="13"/>
    <w:uiPriority w:val="10"/>
    <w:rPr>
      <w:rFonts w:asciiTheme="majorHAnsi" w:hAnsiTheme="majorHAnsi" w:eastAsiaTheme="majorEastAsia" w:cstheme="majorBidi"/>
      <w:spacing w:val="-10"/>
      <w:kern w:val="28"/>
      <w:sz w:val="56"/>
      <w:szCs w:val="56"/>
    </w:rPr>
  </w:style>
  <w:style w:type="character" w:customStyle="1" w:styleId="29">
    <w:name w:val="副标题 字符"/>
    <w:basedOn w:val="16"/>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widowControl w:val="0"/>
      <w:spacing w:before="160" w:after="160" w:line="278" w:lineRule="auto"/>
      <w:jc w:val="center"/>
    </w:pPr>
    <w:rPr>
      <w:rFonts w:asciiTheme="minorHAnsi" w:hAnsiTheme="minorHAnsi" w:eastAsiaTheme="minorEastAsia" w:cstheme="minorBidi"/>
      <w:i/>
      <w:iCs/>
      <w:color w:val="404040" w:themeColor="text1" w:themeTint="BF"/>
      <w:kern w:val="2"/>
      <w:sz w:val="22"/>
      <w14:textFill>
        <w14:solidFill>
          <w14:schemeClr w14:val="tx1">
            <w14:lumMod w14:val="75000"/>
            <w14:lumOff w14:val="25000"/>
          </w14:schemeClr>
        </w14:solidFill>
      </w14:textFill>
      <w14:ligatures w14:val="standardContextual"/>
    </w:rPr>
  </w:style>
  <w:style w:type="character" w:customStyle="1" w:styleId="31">
    <w:name w:val="引用 字符"/>
    <w:basedOn w:val="16"/>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widowControl w:val="0"/>
      <w:spacing w:after="160" w:line="278" w:lineRule="auto"/>
      <w:ind w:left="720"/>
      <w:contextualSpacing/>
    </w:pPr>
    <w:rPr>
      <w:rFonts w:asciiTheme="minorHAnsi" w:hAnsiTheme="minorHAnsi" w:eastAsiaTheme="minorEastAsia" w:cstheme="minorBidi"/>
      <w:kern w:val="2"/>
      <w:sz w:val="22"/>
      <w14:ligatures w14:val="standardContextual"/>
    </w:rPr>
  </w:style>
  <w:style w:type="character" w:customStyle="1" w:styleId="33">
    <w:name w:val="明显强调1"/>
    <w:basedOn w:val="16"/>
    <w:qFormat/>
    <w:uiPriority w:val="21"/>
    <w:rPr>
      <w:i/>
      <w:iCs/>
      <w:color w:val="104862" w:themeColor="accent1" w:themeShade="BF"/>
    </w:rPr>
  </w:style>
  <w:style w:type="paragraph" w:styleId="34">
    <w:name w:val="Intense Quote"/>
    <w:basedOn w:val="1"/>
    <w:next w:val="1"/>
    <w:link w:val="35"/>
    <w:qFormat/>
    <w:uiPriority w:val="30"/>
    <w:pPr>
      <w:widowControl w:val="0"/>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kern w:val="2"/>
      <w:sz w:val="22"/>
      <w14:ligatures w14:val="standardContextual"/>
    </w:rPr>
  </w:style>
  <w:style w:type="character" w:customStyle="1" w:styleId="35">
    <w:name w:val="明显引用 字符"/>
    <w:basedOn w:val="16"/>
    <w:link w:val="34"/>
    <w:uiPriority w:val="30"/>
    <w:rPr>
      <w:i/>
      <w:iCs/>
      <w:color w:val="104862" w:themeColor="accent1" w:themeShade="BF"/>
    </w:rPr>
  </w:style>
  <w:style w:type="character" w:customStyle="1" w:styleId="36">
    <w:name w:val="明显参考1"/>
    <w:basedOn w:val="16"/>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1108</Words>
  <Characters>6322</Characters>
  <Lines>52</Lines>
  <Paragraphs>14</Paragraphs>
  <TotalTime>0</TotalTime>
  <ScaleCrop>false</ScaleCrop>
  <LinksUpToDate>false</LinksUpToDate>
  <CharactersWithSpaces>7416</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2026-05-29T18:21:00Z</dcterms:created>
  <dc:creator>huifeng yuan</dc:creator>
  <cp:lastModifiedBy>Huifeng</cp:lastModifiedBy>
  <dcterms:modified xsi:type="dcterms:W3CDTF">2026-06-18T14:37:40Z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79135FA55DBD94861AF7236A8CF713EF_42</vt:lpwstr>
  </property>
</Properties>
</file>