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5EA97">
      <w:pPr>
        <w:spacing w:line="360" w:lineRule="auto"/>
        <w:ind w:left="360" w:hanging="360"/>
        <w:jc w:val="center"/>
        <w:rPr>
          <w:rFonts w:hint="default" w:ascii="Times New Roman Bold" w:hAnsi="Times New Roman Bold" w:eastAsia="宋体" w:cs="Times New Roman Bold"/>
          <w:b/>
          <w:bCs/>
          <w:sz w:val="32"/>
          <w:szCs w:val="32"/>
          <w:lang w:val="en-US" w:eastAsia="zh-CN"/>
        </w:rPr>
      </w:pPr>
      <w:r>
        <w:rPr>
          <w:rFonts w:hint="eastAsia" w:ascii="Times New Roman Bold" w:hAnsi="Times New Roman Bold" w:cs="Times New Roman Bold"/>
          <w:b/>
          <w:bCs/>
          <w:sz w:val="36"/>
          <w:szCs w:val="36"/>
          <w:lang w:val="en-US" w:eastAsia="zh-CN"/>
        </w:rPr>
        <w:t>代码和数据说明</w:t>
      </w:r>
    </w:p>
    <w:p w14:paraId="3B323B83">
      <w:pPr>
        <w:spacing w:line="360" w:lineRule="auto"/>
        <w:ind w:left="360" w:hanging="360"/>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文章名：《</w:t>
      </w:r>
      <w:r>
        <w:rPr>
          <w:rFonts w:ascii="Times New Roman" w:hAnsi="Times New Roman" w:cs="Times New Roman"/>
          <w:sz w:val="24"/>
          <w:szCs w:val="24"/>
        </w:rPr>
        <w:t>Six-fold reduction in ocean heat content estimate uncertainty since 1960</w:t>
      </w:r>
      <w:r>
        <w:rPr>
          <w:rFonts w:hint="eastAsia" w:ascii="Times New Roman" w:hAnsi="Times New Roman" w:cs="Times New Roman"/>
          <w:sz w:val="24"/>
          <w:szCs w:val="24"/>
          <w:lang w:eastAsia="zh-CN"/>
        </w:rPr>
        <w:t>》</w:t>
      </w:r>
    </w:p>
    <w:p w14:paraId="2A49B1D2">
      <w:pPr>
        <w:spacing w:line="360" w:lineRule="auto"/>
        <w:ind w:left="360" w:hanging="36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作者：原惠峰，成里京，潘玉莹，朱雨静，宋欣燚，郑化毅</w:t>
      </w:r>
    </w:p>
    <w:p w14:paraId="43D8CC81">
      <w:pPr>
        <w:spacing w:line="360" w:lineRule="auto"/>
        <w:ind w:left="360" w:hanging="360"/>
        <w:rPr>
          <w:rFonts w:ascii="Times New Roman" w:hAnsi="Times New Roman" w:cs="Times New Roman"/>
          <w:sz w:val="24"/>
          <w:szCs w:val="24"/>
        </w:rPr>
      </w:pPr>
      <w:r>
        <w:rPr>
          <w:rFonts w:hint="eastAsia" w:ascii="Times New Roman" w:hAnsi="Times New Roman" w:cs="Times New Roman"/>
          <w:sz w:val="24"/>
          <w:szCs w:val="24"/>
          <w:lang w:val="en-US" w:eastAsia="zh-CN"/>
        </w:rPr>
        <w:t>联系方式</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hfyuan@cnic.cn，chenglij@mail</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iap.ac</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cn</w:t>
      </w:r>
    </w:p>
    <w:p w14:paraId="5A491C28">
      <w:pPr>
        <w:ind w:left="360" w:hanging="360"/>
        <w:rPr>
          <w:rFonts w:hint="eastAsia"/>
          <w:sz w:val="24"/>
          <w:szCs w:val="24"/>
          <w:lang w:val="en-US" w:eastAsia="zh-CN"/>
        </w:rPr>
      </w:pPr>
    </w:p>
    <w:p w14:paraId="4EB68142">
      <w:pPr>
        <w:pStyle w:val="33"/>
        <w:numPr>
          <w:ilvl w:val="0"/>
          <w:numId w:val="1"/>
        </w:numPr>
        <w:spacing w:after="0" w:line="360" w:lineRule="auto"/>
        <w:rPr>
          <w:rFonts w:ascii="Times New Roman" w:hAnsi="Times New Roman" w:cs="Times New Roman"/>
          <w:sz w:val="24"/>
          <w:szCs w:val="24"/>
        </w:rPr>
      </w:pPr>
      <w:r>
        <w:rPr>
          <w:rFonts w:hint="eastAsia" w:ascii="Times New Roman" w:hAnsi="Times New Roman" w:cs="Times New Roman"/>
          <w:sz w:val="24"/>
          <w:szCs w:val="24"/>
          <w:lang w:val="en-US" w:eastAsia="zh-CN"/>
        </w:rPr>
        <w:t>数据分析</w:t>
      </w:r>
    </w:p>
    <w:p w14:paraId="1ED69524">
      <w:pPr>
        <w:spacing w:line="360" w:lineRule="auto"/>
        <w:ind w:firstLine="420" w:firstLineChars="0"/>
        <w:contextualSpacing/>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文中源图的绘制所用的数据以及文章中相关数据结果计算所需的部分</w:t>
      </w:r>
      <w:r>
        <w:rPr>
          <w:rFonts w:hint="eastAsia" w:ascii="Times New Roman" w:hAnsi="Times New Roman" w:cs="Times New Roman"/>
          <w:sz w:val="24"/>
          <w:szCs w:val="24"/>
          <w:lang w:val="en-US" w:eastAsia="zh-CN"/>
        </w:rPr>
        <w:t>python代码程序。相关代码具体为：</w:t>
      </w:r>
    </w:p>
    <w:p w14:paraId="7A2EA853">
      <w:pPr>
        <w:pStyle w:val="12"/>
        <w:widowControl/>
        <w:spacing w:line="360" w:lineRule="auto"/>
        <w:rPr>
          <w:rFonts w:hint="default" w:ascii="Times New Roman Regular" w:hAnsi="Times New Roman Regular" w:eastAsia="Times New Roman Regular" w:cs="Times New Roman Regular"/>
          <w:sz w:val="24"/>
          <w:szCs w:val="24"/>
          <w:lang w:val="en-US"/>
        </w:rPr>
      </w:pPr>
      <w:r>
        <w:rPr>
          <w:rFonts w:hint="eastAsia" w:ascii="Times New Roman Regular" w:hAnsi="Times New Roman Regular" w:eastAsia="宋体" w:cs="Times New Roman Regular"/>
          <w:color w:val="0F1115"/>
          <w:sz w:val="24"/>
          <w:szCs w:val="24"/>
          <w:shd w:val="clear" w:fill="FFFFFF"/>
          <w:lang w:val="en-US" w:eastAsia="zh-CN"/>
        </w:rPr>
        <w:t>线上路径：</w:t>
      </w:r>
      <w:r>
        <w:rPr>
          <w:rFonts w:hint="default" w:ascii="Times New Roman Regular" w:hAnsi="Times New Roman Regular" w:eastAsia="Helvetica Neue" w:cs="Times New Roman Regular"/>
          <w:color w:val="0F1115"/>
          <w:sz w:val="24"/>
          <w:szCs w:val="24"/>
          <w:shd w:val="clear" w:fill="FFFFFF"/>
          <w:lang w:val="en-US"/>
        </w:rPr>
        <w:t> </w:t>
      </w:r>
      <w:r>
        <w:rPr>
          <w:rFonts w:hint="default" w:ascii="Times New Roman Regular" w:hAnsi="Times New Roman Regular" w:eastAsia="Helvetica Neue" w:cs="Times New Roman Regular"/>
          <w:sz w:val="24"/>
          <w:szCs w:val="24"/>
          <w:bdr w:val="single" w:color="auto" w:sz="24" w:space="0"/>
          <w:shd w:val="clear" w:fill="FFFFFF"/>
          <w:lang w:val="en-US"/>
        </w:rPr>
        <w:fldChar w:fldCharType="begin"/>
      </w:r>
      <w:r>
        <w:rPr>
          <w:rFonts w:hint="default" w:ascii="Times New Roman Regular" w:hAnsi="Times New Roman Regular" w:eastAsia="Helvetica Neue" w:cs="Times New Roman Regular"/>
          <w:sz w:val="24"/>
          <w:szCs w:val="24"/>
          <w:bdr w:val="single" w:color="auto" w:sz="24" w:space="0"/>
          <w:shd w:val="clear" w:fill="FFFFFF"/>
          <w:lang w:val="en-US"/>
        </w:rPr>
        <w:instrText xml:space="preserve"> HYPERLINK "http://www.ocean.iap.ac.cn/ftp/ensemble/code/" \t "/Users/huifengyuan/Documents\\x/_blank" </w:instrText>
      </w:r>
      <w:r>
        <w:rPr>
          <w:rFonts w:hint="default" w:ascii="Times New Roman Regular" w:hAnsi="Times New Roman Regular" w:eastAsia="Helvetica Neue" w:cs="Times New Roman Regular"/>
          <w:sz w:val="24"/>
          <w:szCs w:val="24"/>
          <w:bdr w:val="single" w:color="auto" w:sz="24" w:space="0"/>
          <w:shd w:val="clear" w:fill="FFFFFF"/>
          <w:lang w:val="en-US"/>
        </w:rPr>
        <w:fldChar w:fldCharType="separate"/>
      </w:r>
      <w:r>
        <w:rPr>
          <w:rStyle w:val="18"/>
          <w:rFonts w:hint="default" w:ascii="Times New Roman Regular" w:hAnsi="Times New Roman Regular" w:eastAsia="Helvetica Neue" w:cs="Times New Roman Regular"/>
          <w:color w:val="3964FE"/>
          <w:sz w:val="24"/>
          <w:szCs w:val="24"/>
          <w:u w:val="none"/>
          <w:bdr w:val="none" w:color="auto" w:sz="0" w:space="0"/>
          <w:shd w:val="clear" w:fill="FFFFFF"/>
          <w:lang w:val="en-US"/>
        </w:rPr>
        <w:t>http://www.ocean.iap.ac.cn/ftp/ensemble/code/</w:t>
      </w:r>
      <w:r>
        <w:rPr>
          <w:rFonts w:hint="default" w:ascii="Times New Roman Regular" w:hAnsi="Times New Roman Regular" w:eastAsia="Helvetica Neue" w:cs="Times New Roman Regular"/>
          <w:sz w:val="24"/>
          <w:szCs w:val="24"/>
          <w:bdr w:val="single" w:color="auto" w:sz="24" w:space="0"/>
          <w:shd w:val="clear" w:fill="FFFFFF"/>
          <w:lang w:val="en-US"/>
        </w:rPr>
        <w:fldChar w:fldCharType="end"/>
      </w:r>
    </w:p>
    <w:p w14:paraId="371C92E6">
      <w:pPr>
        <w:pStyle w:val="12"/>
        <w:widowControl/>
        <w:spacing w:line="360" w:lineRule="auto"/>
        <w:rPr>
          <w:rFonts w:hint="eastAsia" w:ascii="Times New Roman" w:hAnsi="Times New Roman" w:eastAsia="宋体" w:cs="Times New Roman"/>
          <w:sz w:val="24"/>
          <w:szCs w:val="24"/>
          <w:lang w:val="en-US" w:eastAsia="zh-CN"/>
        </w:rPr>
      </w:pPr>
      <w:r>
        <w:rPr>
          <w:rFonts w:hint="eastAsia" w:ascii="Times New Roman Regular" w:hAnsi="Times New Roman Regular" w:eastAsia="宋体" w:cs="Times New Roman Regular"/>
          <w:color w:val="0F1115"/>
          <w:sz w:val="24"/>
          <w:szCs w:val="24"/>
          <w:shd w:val="clear" w:fill="FFFFFF"/>
          <w:lang w:val="en-US" w:eastAsia="zh-CN"/>
        </w:rPr>
        <w:t>本地路径：</w:t>
      </w:r>
      <w:r>
        <w:rPr>
          <w:rStyle w:val="19"/>
          <w:rFonts w:hint="default" w:ascii="Times New Roman Regular" w:hAnsi="Times New Roman Regular" w:eastAsia="Menlo" w:cs="Times New Roman Regular"/>
          <w:color w:val="0F1115"/>
          <w:sz w:val="24"/>
          <w:szCs w:val="24"/>
          <w:lang w:val="en-US"/>
        </w:rPr>
        <w:t>Code</w:t>
      </w:r>
      <w:r>
        <w:rPr>
          <w:rStyle w:val="19"/>
          <w:rFonts w:hint="eastAsia" w:ascii="Times New Roman Regular" w:hAnsi="Times New Roman Regular" w:eastAsia="宋体" w:cs="Times New Roman Regular"/>
          <w:color w:val="0F1115"/>
          <w:sz w:val="24"/>
          <w:szCs w:val="24"/>
          <w:lang w:val="en-US" w:eastAsia="zh-CN"/>
        </w:rPr>
        <w:t>文件夹</w:t>
      </w:r>
    </w:p>
    <w:p w14:paraId="7151A319">
      <w:pPr>
        <w:numPr>
          <w:ilvl w:val="0"/>
          <w:numId w:val="2"/>
        </w:numPr>
        <w:spacing w:line="360" w:lineRule="auto"/>
        <w:ind w:left="425" w:leftChars="0" w:hanging="425"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Step1_cal_source_err_TS_8error_source.py</w:t>
      </w:r>
    </w:p>
    <w:p w14:paraId="78DA59E1">
      <w:pPr>
        <w:numPr>
          <w:ilvl w:val="0"/>
          <w:numId w:val="0"/>
        </w:numPr>
        <w:spacing w:line="360" w:lineRule="auto"/>
        <w:ind w:leftChars="0" w:firstLine="420"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计算量化0–2000m海洋热含量估算中8类主要误差源的不确定性大小。</w:t>
      </w:r>
    </w:p>
    <w:p w14:paraId="57CD1FB2">
      <w:pPr>
        <w:numPr>
          <w:ilvl w:val="0"/>
          <w:numId w:val="2"/>
        </w:numPr>
        <w:spacing w:line="360" w:lineRule="auto"/>
        <w:ind w:left="425" w:leftChars="0" w:hanging="425" w:firstLineChars="0"/>
        <w:contextualSpacing/>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lang w:val="en-US" w:eastAsia="zh-CN"/>
        </w:rPr>
        <w:t>Step2_cal_source_err_Trend_8error_source.py</w:t>
      </w:r>
    </w:p>
    <w:p w14:paraId="1A4F1F99">
      <w:pPr>
        <w:numPr>
          <w:ilvl w:val="0"/>
          <w:numId w:val="0"/>
        </w:numPr>
        <w:spacing w:line="360" w:lineRule="auto"/>
        <w:ind w:leftChars="0" w:firstLine="420" w:firstLineChars="0"/>
        <w:contextualSpacing/>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lang w:val="en-US" w:eastAsia="zh-CN"/>
        </w:rPr>
        <w:t>8个误差源在4个时间段的热含量误差趋势。</w:t>
      </w:r>
    </w:p>
    <w:p w14:paraId="0F9C0E4C">
      <w:pPr>
        <w:numPr>
          <w:ilvl w:val="0"/>
          <w:numId w:val="2"/>
        </w:numPr>
        <w:spacing w:line="360" w:lineRule="auto"/>
        <w:ind w:left="425" w:leftChars="0" w:hanging="425" w:firstLineChars="0"/>
        <w:contextualSpacing/>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Step3_cal_OHC_TS_ensemble_mean_std.py</w:t>
      </w:r>
    </w:p>
    <w:p w14:paraId="10B7FD12">
      <w:pPr>
        <w:spacing w:line="360" w:lineRule="auto"/>
        <w:ind w:firstLine="420"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计算大样本集合成员热含量时间序列和90%置信区间数据。</w:t>
      </w:r>
    </w:p>
    <w:p w14:paraId="7A765FB1">
      <w:pPr>
        <w:numPr>
          <w:ilvl w:val="0"/>
          <w:numId w:val="2"/>
        </w:numPr>
        <w:spacing w:line="360" w:lineRule="auto"/>
        <w:ind w:left="425" w:leftChars="0" w:hanging="425" w:firstLineChars="0"/>
        <w:contextualSpacing/>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Step4_cal_spatial_ensemble_OHC_grid_90CI.py</w:t>
      </w:r>
    </w:p>
    <w:p w14:paraId="0FB966BD">
      <w:pPr>
        <w:spacing w:line="360" w:lineRule="auto"/>
        <w:ind w:firstLine="420"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计算不同年代（十年尺度）全球及半球平均的 0–2000 米海洋热含量估算的90%置信区间宽度。</w:t>
      </w:r>
    </w:p>
    <w:p w14:paraId="69790583">
      <w:pPr>
        <w:numPr>
          <w:ilvl w:val="0"/>
          <w:numId w:val="2"/>
        </w:numPr>
        <w:spacing w:line="360" w:lineRule="auto"/>
        <w:ind w:left="425" w:leftChars="0" w:hanging="425" w:firstLineChars="0"/>
        <w:contextualSpacing/>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Step5_cal_OHCT_EEI_TS_center6.py</w:t>
      </w:r>
    </w:p>
    <w:p w14:paraId="048EB7BB">
      <w:pPr>
        <w:spacing w:line="360" w:lineRule="auto"/>
        <w:ind w:firstLine="420"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计算和分析海洋热含量趋势及其不确定性，包括OHCT不确定性、海洋热含量变化率的不确定性及OHCT趋势等。</w:t>
      </w:r>
    </w:p>
    <w:p w14:paraId="7A41BA7A">
      <w:pPr>
        <w:numPr>
          <w:ilvl w:val="0"/>
          <w:numId w:val="2"/>
        </w:numPr>
        <w:spacing w:line="360" w:lineRule="auto"/>
        <w:ind w:left="425" w:leftChars="0" w:hanging="425" w:firstLineChars="0"/>
        <w:contextualSpacing/>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Step6_cal_dOHCdt_dFS_EEI_timeseries_monthly.py</w:t>
      </w:r>
    </w:p>
    <w:p w14:paraId="1B7B01E8">
      <w:pPr>
        <w:spacing w:line="360" w:lineRule="auto"/>
        <w:ind w:firstLine="420" w:firstLineChars="0"/>
        <w:contextualSpacing/>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计算和对比多种地球能量收支指标，包括海洋热含量变化率、地球系统能量不平衡及地表热通量等。</w:t>
      </w:r>
    </w:p>
    <w:p w14:paraId="7409A5CA">
      <w:pPr>
        <w:spacing w:line="360" w:lineRule="auto"/>
        <w:contextualSpacing/>
        <w:rPr>
          <w:rFonts w:ascii="Times New Roman" w:hAnsi="Times New Roman" w:cs="Times New Roman"/>
          <w:sz w:val="24"/>
          <w:szCs w:val="24"/>
        </w:rPr>
      </w:pPr>
    </w:p>
    <w:p w14:paraId="312A3E74">
      <w:pPr>
        <w:pStyle w:val="33"/>
        <w:numPr>
          <w:ilvl w:val="0"/>
          <w:numId w:val="1"/>
        </w:numPr>
        <w:spacing w:after="0" w:line="360" w:lineRule="auto"/>
        <w:rPr>
          <w:rFonts w:ascii="Times New Roman" w:hAnsi="Times New Roman" w:cs="Times New Roman"/>
          <w:sz w:val="24"/>
          <w:szCs w:val="24"/>
        </w:rPr>
      </w:pPr>
      <w:r>
        <w:rPr>
          <w:rFonts w:hint="eastAsia" w:ascii="Times New Roman" w:hAnsi="Times New Roman" w:cs="Times New Roman"/>
          <w:sz w:val="24"/>
          <w:szCs w:val="24"/>
          <w:lang w:val="en-US" w:eastAsia="zh-CN"/>
        </w:rPr>
        <w:t>源图绘制</w:t>
      </w:r>
    </w:p>
    <w:p w14:paraId="3CAABC96">
      <w:pPr>
        <w:spacing w:line="360" w:lineRule="auto"/>
        <w:ind w:firstLine="420" w:firstLineChars="0"/>
        <w:contextualSpacing/>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文中源图的绘制均采用python3代码及相关依赖库绘制。相关数据和代码存放路径为：</w:t>
      </w:r>
    </w:p>
    <w:p w14:paraId="4B925BC2">
      <w:pPr>
        <w:pStyle w:val="12"/>
        <w:widowControl/>
        <w:spacing w:line="360" w:lineRule="auto"/>
        <w:rPr>
          <w:rFonts w:hint="default" w:ascii="Times New Roman Regular" w:hAnsi="Times New Roman Regular" w:eastAsia="Times New Roman Regular" w:cs="Times New Roman Regular"/>
          <w:sz w:val="24"/>
          <w:szCs w:val="24"/>
          <w:lang w:val="en-US"/>
        </w:rPr>
      </w:pPr>
      <w:r>
        <w:rPr>
          <w:rFonts w:hint="eastAsia" w:ascii="Times New Roman Regular" w:hAnsi="Times New Roman Regular" w:eastAsia="宋体" w:cs="Times New Roman Regular"/>
          <w:color w:val="0F1115"/>
          <w:sz w:val="24"/>
          <w:szCs w:val="24"/>
          <w:shd w:val="clear" w:fill="FFFFFF"/>
          <w:lang w:val="en-US" w:eastAsia="zh-CN"/>
        </w:rPr>
        <w:t>线上路径：</w:t>
      </w:r>
      <w:r>
        <w:rPr>
          <w:rFonts w:hint="default" w:ascii="Times New Roman Regular" w:hAnsi="Times New Roman Regular" w:eastAsia="Helvetica Neue" w:cs="Times New Roman Regular"/>
          <w:color w:val="0F1115"/>
          <w:sz w:val="24"/>
          <w:szCs w:val="24"/>
          <w:shd w:val="clear" w:fill="FFFFFF"/>
          <w:lang w:val="en-US"/>
        </w:rPr>
        <w:t> </w:t>
      </w:r>
      <w:r>
        <w:rPr>
          <w:rFonts w:hint="default" w:ascii="Times New Roman Regular" w:hAnsi="Times New Roman Regular" w:eastAsia="Helvetica Neue" w:cs="Times New Roman Regular"/>
          <w:sz w:val="24"/>
          <w:szCs w:val="24"/>
          <w:bdr w:val="single" w:color="auto" w:sz="24" w:space="0"/>
          <w:shd w:val="clear" w:fill="FFFFFF"/>
          <w:lang w:val="en-US"/>
        </w:rPr>
        <w:fldChar w:fldCharType="begin"/>
      </w:r>
      <w:r>
        <w:rPr>
          <w:rFonts w:hint="default" w:ascii="Times New Roman Regular" w:hAnsi="Times New Roman Regular" w:eastAsia="Helvetica Neue" w:cs="Times New Roman Regular"/>
          <w:sz w:val="24"/>
          <w:szCs w:val="24"/>
          <w:bdr w:val="single" w:color="auto" w:sz="24" w:space="0"/>
          <w:shd w:val="clear" w:fill="FFFFFF"/>
          <w:lang w:val="en-US"/>
        </w:rPr>
        <w:instrText xml:space="preserve"> HYPERLINK "http://www.ocean.iap.ac.cn/ftp/ensemble/code/" \t "/Users/huifengyuan/Documents\\x/_blank" </w:instrText>
      </w:r>
      <w:r>
        <w:rPr>
          <w:rFonts w:hint="default" w:ascii="Times New Roman Regular" w:hAnsi="Times New Roman Regular" w:eastAsia="Helvetica Neue" w:cs="Times New Roman Regular"/>
          <w:sz w:val="24"/>
          <w:szCs w:val="24"/>
          <w:bdr w:val="single" w:color="auto" w:sz="24" w:space="0"/>
          <w:shd w:val="clear" w:fill="FFFFFF"/>
          <w:lang w:val="en-US"/>
        </w:rPr>
        <w:fldChar w:fldCharType="separate"/>
      </w:r>
      <w:r>
        <w:rPr>
          <w:rStyle w:val="18"/>
          <w:rFonts w:hint="default" w:ascii="Times New Roman Regular" w:hAnsi="Times New Roman Regular" w:eastAsia="Helvetica Neue" w:cs="Times New Roman Regular"/>
          <w:color w:val="3964FE"/>
          <w:sz w:val="24"/>
          <w:szCs w:val="24"/>
          <w:u w:val="none"/>
          <w:shd w:val="clear" w:fill="FFFFFF"/>
          <w:lang w:val="en-US"/>
        </w:rPr>
        <w:t>http://www.ocean.iap.ac.cn/ftp/ensemble/code/</w:t>
      </w:r>
      <w:r>
        <w:rPr>
          <w:rFonts w:hint="default" w:ascii="Times New Roman Regular" w:hAnsi="Times New Roman Regular" w:eastAsia="Helvetica Neue" w:cs="Times New Roman Regular"/>
          <w:sz w:val="24"/>
          <w:szCs w:val="24"/>
          <w:bdr w:val="single" w:color="auto" w:sz="24" w:space="0"/>
          <w:shd w:val="clear" w:fill="FFFFFF"/>
          <w:lang w:val="en-US"/>
        </w:rPr>
        <w:fldChar w:fldCharType="end"/>
      </w:r>
    </w:p>
    <w:p w14:paraId="7BCCAA2C">
      <w:pPr>
        <w:pStyle w:val="12"/>
        <w:widowControl/>
        <w:spacing w:line="360" w:lineRule="auto"/>
        <w:rPr>
          <w:rFonts w:hint="default" w:ascii="Times New Roman" w:hAnsi="Times New Roman" w:cs="Times New Roman"/>
          <w:sz w:val="24"/>
          <w:szCs w:val="24"/>
          <w:lang w:val="en-US" w:eastAsia="zh-CN"/>
        </w:rPr>
      </w:pPr>
      <w:r>
        <w:rPr>
          <w:rFonts w:hint="eastAsia" w:ascii="Times New Roman Regular" w:hAnsi="Times New Roman Regular" w:eastAsia="宋体" w:cs="Times New Roman Regular"/>
          <w:color w:val="0F1115"/>
          <w:sz w:val="24"/>
          <w:szCs w:val="24"/>
          <w:shd w:val="clear" w:fill="FFFFFF"/>
          <w:lang w:val="en-US" w:eastAsia="zh-CN"/>
        </w:rPr>
        <w:t>本地路径：</w:t>
      </w:r>
      <w:r>
        <w:rPr>
          <w:rStyle w:val="19"/>
          <w:rFonts w:hint="default" w:ascii="Times New Roman Regular" w:hAnsi="Times New Roman Regular" w:eastAsia="Menlo" w:cs="Times New Roman Regular"/>
          <w:color w:val="0F1115"/>
          <w:sz w:val="24"/>
          <w:szCs w:val="24"/>
          <w:lang w:val="en-US"/>
        </w:rPr>
        <w:t>Code</w:t>
      </w:r>
      <w:r>
        <w:rPr>
          <w:rStyle w:val="19"/>
          <w:rFonts w:hint="eastAsia" w:ascii="Times New Roman Regular" w:hAnsi="Times New Roman Regular" w:eastAsia="宋体" w:cs="Times New Roman Regular"/>
          <w:color w:val="0F1115"/>
          <w:sz w:val="24"/>
          <w:szCs w:val="24"/>
          <w:lang w:val="en-US" w:eastAsia="zh-CN"/>
        </w:rPr>
        <w:t>文件夹</w:t>
      </w:r>
    </w:p>
    <w:p w14:paraId="1830B49E">
      <w:pPr>
        <w:numPr>
          <w:ilvl w:val="0"/>
          <w:numId w:val="3"/>
        </w:numPr>
        <w:spacing w:line="360" w:lineRule="auto"/>
        <w:ind w:left="0" w:leftChars="0" w:firstLine="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Fig2a_plot_OHC_TS_ensemble_mean_std.py</w:t>
      </w:r>
    </w:p>
    <w:p w14:paraId="44E440AB">
      <w:pPr>
        <w:numPr>
          <w:ilvl w:val="0"/>
          <w:numId w:val="0"/>
        </w:numPr>
        <w:spacing w:line="360" w:lineRule="auto"/>
        <w:ind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lang w:val="en-US" w:eastAsia="zh-CN"/>
        </w:rPr>
        <w:t>图</w:t>
      </w:r>
      <w:r>
        <w:rPr>
          <w:rFonts w:hint="eastAsia" w:ascii="Times New Roman" w:hAnsi="Times New Roman" w:cs="Times New Roman"/>
          <w:sz w:val="24"/>
          <w:szCs w:val="24"/>
        </w:rPr>
        <w:t>2a. 全球海洋上层300m、700m和2000m热含量距平。实线为基于IAP数据的中心</w:t>
      </w:r>
      <w:r>
        <w:rPr>
          <w:rFonts w:hint="eastAsia" w:ascii="Times New Roman" w:hAnsi="Times New Roman" w:cs="Times New Roman"/>
          <w:sz w:val="24"/>
          <w:szCs w:val="24"/>
          <w:lang w:eastAsia="zh-CN"/>
        </w:rPr>
        <w:t>估算</w:t>
      </w:r>
      <w:r>
        <w:rPr>
          <w:rFonts w:hint="eastAsia" w:ascii="Times New Roman" w:hAnsi="Times New Roman" w:cs="Times New Roman"/>
          <w:sz w:val="24"/>
          <w:szCs w:val="24"/>
        </w:rPr>
        <w:t>值，阴影区域表示由9</w:t>
      </w:r>
      <w:r>
        <w:rPr>
          <w:rFonts w:hint="eastAsia" w:ascii="Times New Roman" w:hAnsi="Times New Roman" w:cs="Times New Roman"/>
          <w:sz w:val="24"/>
          <w:szCs w:val="24"/>
          <w:lang w:val="en-US" w:eastAsia="zh-CN"/>
        </w:rPr>
        <w:t>0</w:t>
      </w:r>
      <w:r>
        <w:rPr>
          <w:rFonts w:hint="eastAsia" w:ascii="Times New Roman" w:hAnsi="Times New Roman" w:cs="Times New Roman"/>
          <w:sz w:val="24"/>
          <w:szCs w:val="24"/>
        </w:rPr>
        <w:t>8个集合成员计算得到的5%–95%不确定性区间。</w:t>
      </w:r>
    </w:p>
    <w:p w14:paraId="538FB57D">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Fig2b_plot_source_err_TS_8error_source.py</w:t>
      </w:r>
    </w:p>
    <w:p w14:paraId="0C6E2ABE">
      <w:pPr>
        <w:numPr>
          <w:ilvl w:val="0"/>
          <w:numId w:val="0"/>
        </w:numPr>
        <w:spacing w:line="360" w:lineRule="auto"/>
        <w:ind w:leftChars="0" w:firstLine="420" w:firstLineChars="0"/>
        <w:contextualSpacing/>
        <w:rPr>
          <w:rFonts w:hint="eastAsia" w:ascii="Times New Roman" w:hAnsi="Times New Roman" w:eastAsia="宋体" w:cs="Times New Roman"/>
          <w:sz w:val="24"/>
          <w:szCs w:val="24"/>
          <w:lang w:eastAsia="zh-CN"/>
        </w:rPr>
      </w:pPr>
      <w:r>
        <w:rPr>
          <w:rFonts w:hint="eastAsia" w:ascii="Times New Roman" w:hAnsi="Times New Roman" w:cs="Times New Roman"/>
          <w:sz w:val="24"/>
          <w:szCs w:val="24"/>
        </w:rPr>
        <w:t>图2b. 全球0–2000 m海洋热含量</w:t>
      </w:r>
      <w:r>
        <w:rPr>
          <w:rFonts w:hint="eastAsia" w:ascii="Times New Roman" w:hAnsi="Times New Roman" w:cs="Times New Roman"/>
          <w:sz w:val="24"/>
          <w:szCs w:val="24"/>
          <w:lang w:eastAsia="zh-CN"/>
        </w:rPr>
        <w:t>估算</w:t>
      </w:r>
      <w:r>
        <w:rPr>
          <w:rFonts w:hint="eastAsia" w:ascii="Times New Roman" w:hAnsi="Times New Roman" w:cs="Times New Roman"/>
          <w:sz w:val="24"/>
          <w:szCs w:val="24"/>
        </w:rPr>
        <w:t>的总不确定性分解。彩色线条表示</w:t>
      </w: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rPr>
        <w:t>类主要误差源各自贡献的不确定性</w:t>
      </w:r>
      <w:r>
        <w:rPr>
          <w:rFonts w:hint="eastAsia" w:ascii="Times New Roman" w:hAnsi="Times New Roman" w:cs="Times New Roman"/>
          <w:sz w:val="24"/>
          <w:szCs w:val="24"/>
          <w:lang w:eastAsia="zh-CN"/>
        </w:rPr>
        <w:t>。</w:t>
      </w:r>
    </w:p>
    <w:p w14:paraId="6D3204D5">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Fig2c_plot_source_err_TS_8error_source_var.py</w:t>
      </w:r>
    </w:p>
    <w:p w14:paraId="11769156">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图2c. 1955–2023年全球0–2000m海洋热含量的方差和协方差时间序列。彩色线条表示各主要误差源各自的方差贡献</w:t>
      </w:r>
      <w:r>
        <w:rPr>
          <w:rFonts w:hint="eastAsia" w:ascii="Times New Roman" w:hAnsi="Times New Roman" w:cs="Times New Roman"/>
          <w:sz w:val="24"/>
          <w:szCs w:val="24"/>
          <w:lang w:eastAsia="zh-CN"/>
        </w:rPr>
        <w:t>。</w:t>
      </w:r>
    </w:p>
    <w:p w14:paraId="0533416C">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Fig2d_plot_source_err_TS_8error_source_var_Proportion.py</w:t>
      </w:r>
    </w:p>
    <w:p w14:paraId="4C7394D0">
      <w:pPr>
        <w:spacing w:line="360" w:lineRule="auto"/>
        <w:ind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 xml:space="preserve">图2d. </w:t>
      </w: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rPr>
        <w:t>类主要误差源和协方差项对全球0–2000m海洋热含量</w:t>
      </w:r>
      <w:r>
        <w:rPr>
          <w:rFonts w:hint="eastAsia" w:ascii="Times New Roman" w:hAnsi="Times New Roman" w:cs="Times New Roman"/>
          <w:sz w:val="24"/>
          <w:szCs w:val="24"/>
          <w:lang w:eastAsia="zh-CN"/>
        </w:rPr>
        <w:t>估算</w:t>
      </w:r>
      <w:r>
        <w:rPr>
          <w:rFonts w:hint="eastAsia" w:ascii="Times New Roman" w:hAnsi="Times New Roman" w:cs="Times New Roman"/>
          <w:sz w:val="24"/>
          <w:szCs w:val="24"/>
        </w:rPr>
        <w:t>总方差的贡献比例。贡献度在年尺度上计算，以占总方差百分比的形式表示</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 xml:space="preserve"> </w:t>
      </w:r>
    </w:p>
    <w:p w14:paraId="27933EBE">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Fig3_plot_8error_covariance.py</w:t>
      </w:r>
    </w:p>
    <w:p w14:paraId="7E8A1E51">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lang w:val="en-US" w:eastAsia="zh-CN"/>
        </w:rPr>
        <w:t>基于大集合样本计算的</w:t>
      </w:r>
      <w:r>
        <w:rPr>
          <w:rFonts w:hint="eastAsia" w:ascii="Times New Roman" w:hAnsi="Times New Roman" w:cs="Times New Roman"/>
          <w:sz w:val="24"/>
          <w:szCs w:val="24"/>
        </w:rPr>
        <w:t>1955–2023年全球0–2000米海洋热含量及其变化率不确定性的方差-协方差矩阵，每个单元格表示不同误差源或时间段之间的协方差。对角线元素表示方差，非对角线元素表示协方差。</w:t>
      </w:r>
    </w:p>
    <w:p w14:paraId="24DA15C5">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Fig4_plot_spatial_ensemble_OHC_grid_90CI.py</w:t>
      </w:r>
    </w:p>
    <w:p w14:paraId="59AE3E6E">
      <w:pPr>
        <w:spacing w:line="360" w:lineRule="auto"/>
        <w:ind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自1955年以来每十年全球0–2000米</w:t>
      </w:r>
      <w:r>
        <w:rPr>
          <w:rFonts w:hint="eastAsia" w:ascii="Times New Roman" w:hAnsi="Times New Roman" w:cs="Times New Roman"/>
          <w:sz w:val="24"/>
          <w:szCs w:val="24"/>
          <w:lang w:val="en-US" w:eastAsia="zh-CN"/>
        </w:rPr>
        <w:t>热含量</w:t>
      </w:r>
      <w:r>
        <w:rPr>
          <w:rFonts w:hint="eastAsia" w:ascii="Times New Roman" w:hAnsi="Times New Roman" w:cs="Times New Roman"/>
          <w:sz w:val="24"/>
          <w:szCs w:val="24"/>
        </w:rPr>
        <w:t>区域总不确定性的演变。每个子图对应一个年代。</w:t>
      </w:r>
    </w:p>
    <w:p w14:paraId="5787FE71">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Fig5_plot_8error_source_max_idx_grid_global_robinson.py</w:t>
      </w:r>
    </w:p>
    <w:p w14:paraId="5421574F">
      <w:pPr>
        <w:numPr>
          <w:ilvl w:val="0"/>
          <w:numId w:val="0"/>
        </w:numPr>
        <w:spacing w:line="360" w:lineRule="auto"/>
        <w:ind w:leftChars="0" w:firstLine="420" w:firstLineChars="0"/>
        <w:contextualSpacing/>
        <w:rPr>
          <w:rFonts w:hint="eastAsia" w:ascii="Times New Roman" w:hAnsi="Times New Roman" w:eastAsia="宋体" w:cs="Times New Roman"/>
          <w:sz w:val="24"/>
          <w:szCs w:val="24"/>
          <w:lang w:eastAsia="zh-CN"/>
        </w:rPr>
      </w:pPr>
      <w:r>
        <w:rPr>
          <w:rFonts w:hint="eastAsia" w:ascii="Times New Roman" w:hAnsi="Times New Roman" w:cs="Times New Roman"/>
          <w:sz w:val="24"/>
          <w:szCs w:val="24"/>
        </w:rPr>
        <w:t>不同年代每个1°×1°网格中区域</w:t>
      </w:r>
      <w:r>
        <w:rPr>
          <w:rFonts w:hint="eastAsia" w:ascii="Times New Roman" w:hAnsi="Times New Roman" w:cs="Times New Roman"/>
          <w:sz w:val="24"/>
          <w:szCs w:val="24"/>
          <w:lang w:val="en-US" w:eastAsia="zh-CN"/>
        </w:rPr>
        <w:t>热含量</w:t>
      </w:r>
      <w:r>
        <w:rPr>
          <w:rFonts w:hint="eastAsia" w:ascii="Times New Roman" w:hAnsi="Times New Roman" w:cs="Times New Roman"/>
          <w:sz w:val="24"/>
          <w:szCs w:val="24"/>
        </w:rPr>
        <w:t>不确定性的最大和第二大贡献者分布图。主要误差源（按类型分类，如XBT偏差、映射方法、气候态选择等）以不同颜色标示</w:t>
      </w:r>
      <w:r>
        <w:rPr>
          <w:rFonts w:hint="eastAsia" w:ascii="Times New Roman" w:hAnsi="Times New Roman" w:cs="Times New Roman"/>
          <w:sz w:val="24"/>
          <w:szCs w:val="24"/>
          <w:lang w:eastAsia="zh-CN"/>
        </w:rPr>
        <w:t>。</w:t>
      </w:r>
    </w:p>
    <w:p w14:paraId="3EB01AED">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Fig6a_plot_source_err_Trend_8error_source.py</w:t>
      </w:r>
    </w:p>
    <w:p w14:paraId="2116C281">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1960–2023年、1960–1990年、1991–2023年、2005–2023年</w:t>
      </w:r>
      <w:r>
        <w:rPr>
          <w:rFonts w:hint="eastAsia" w:ascii="Times New Roman" w:hAnsi="Times New Roman" w:cs="Times New Roman"/>
          <w:sz w:val="24"/>
          <w:szCs w:val="24"/>
          <w:lang w:val="en-US" w:eastAsia="zh-CN"/>
        </w:rPr>
        <w:t>共4个时间段</w:t>
      </w:r>
      <w:r>
        <w:rPr>
          <w:rFonts w:hint="eastAsia" w:ascii="Times New Roman" w:hAnsi="Times New Roman" w:cs="Times New Roman"/>
          <w:sz w:val="24"/>
          <w:szCs w:val="24"/>
        </w:rPr>
        <w:t>0–2000米</w:t>
      </w:r>
      <w:r>
        <w:rPr>
          <w:rFonts w:hint="eastAsia" w:ascii="Times New Roman" w:hAnsi="Times New Roman" w:cs="Times New Roman"/>
          <w:sz w:val="24"/>
          <w:szCs w:val="24"/>
          <w:lang w:val="en-US" w:eastAsia="zh-CN"/>
        </w:rPr>
        <w:t>热含量</w:t>
      </w:r>
      <w:r>
        <w:rPr>
          <w:rFonts w:hint="eastAsia" w:ascii="Times New Roman" w:hAnsi="Times New Roman" w:cs="Times New Roman"/>
          <w:sz w:val="24"/>
          <w:szCs w:val="24"/>
        </w:rPr>
        <w:t xml:space="preserve">趋势的不确定性。 </w:t>
      </w:r>
    </w:p>
    <w:p w14:paraId="0B7AA5CB">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Fig6b_plot_dOHCdt_dFS_EEI_timeseries_monthly_update.py</w:t>
      </w:r>
    </w:p>
    <w:p w14:paraId="6BBC19EF">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全球海洋</w:t>
      </w:r>
      <w:r>
        <w:rPr>
          <w:rFonts w:hint="eastAsia" w:ascii="Times New Roman" w:hAnsi="Times New Roman" w:cs="Times New Roman"/>
          <w:sz w:val="24"/>
          <w:szCs w:val="24"/>
          <w:lang w:val="en-US" w:eastAsia="zh-CN"/>
        </w:rPr>
        <w:t>热含量变</w:t>
      </w:r>
      <w:r>
        <w:rPr>
          <w:rFonts w:hint="eastAsia" w:ascii="Times New Roman" w:hAnsi="Times New Roman" w:cs="Times New Roman"/>
          <w:sz w:val="24"/>
          <w:szCs w:val="24"/>
        </w:rPr>
        <w:t>率</w:t>
      </w:r>
      <w:r>
        <w:rPr>
          <w:rFonts w:hint="eastAsia" w:ascii="Times New Roman" w:hAnsi="Times New Roman" w:cs="Times New Roman"/>
          <w:sz w:val="24"/>
          <w:szCs w:val="24"/>
          <w:lang w:val="en-US" w:eastAsia="zh-CN"/>
        </w:rPr>
        <w:t>的</w:t>
      </w:r>
      <w:r>
        <w:rPr>
          <w:rFonts w:hint="eastAsia" w:ascii="Times New Roman" w:hAnsi="Times New Roman" w:cs="Times New Roman"/>
          <w:sz w:val="24"/>
          <w:szCs w:val="24"/>
        </w:rPr>
        <w:t>时间序列</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dOHC/dt</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，0.9</w:t>
      </w:r>
      <w:r>
        <w:rPr>
          <w:rFonts w:hint="eastAsia" w:ascii="Times New Roman" w:hAnsi="Times New Roman" w:cs="Times New Roman"/>
          <w:sz w:val="24"/>
          <w:szCs w:val="24"/>
          <w:lang w:val="en-US" w:eastAsia="zh-CN"/>
        </w:rPr>
        <w:t>倍</w:t>
      </w:r>
      <w:r>
        <w:rPr>
          <w:rFonts w:hint="eastAsia" w:ascii="Times New Roman" w:hAnsi="Times New Roman" w:cs="Times New Roman"/>
          <w:sz w:val="24"/>
          <w:szCs w:val="24"/>
        </w:rPr>
        <w:t>CERES-EEI、两种海洋表面热通量以及</w:t>
      </w:r>
      <w:r>
        <w:rPr>
          <w:rFonts w:hint="eastAsia" w:ascii="Times New Roman" w:hAnsi="Times New Roman" w:cs="Times New Roman"/>
          <w:sz w:val="24"/>
          <w:szCs w:val="24"/>
          <w:lang w:val="en-US" w:eastAsia="zh-CN"/>
        </w:rPr>
        <w:t>热含量变率</w:t>
      </w:r>
      <w:r>
        <w:rPr>
          <w:rFonts w:hint="eastAsia" w:ascii="Times New Roman" w:hAnsi="Times New Roman" w:cs="Times New Roman"/>
          <w:sz w:val="24"/>
          <w:szCs w:val="24"/>
        </w:rPr>
        <w:t>与大气能量</w:t>
      </w:r>
      <w:r>
        <w:rPr>
          <w:rFonts w:hint="eastAsia" w:ascii="Times New Roman" w:hAnsi="Times New Roman" w:cs="Times New Roman"/>
          <w:sz w:val="24"/>
          <w:szCs w:val="24"/>
          <w:lang w:val="en-US" w:eastAsia="zh-CN"/>
        </w:rPr>
        <w:t>变率的</w:t>
      </w:r>
      <w:r>
        <w:rPr>
          <w:rFonts w:hint="eastAsia" w:ascii="Times New Roman" w:hAnsi="Times New Roman" w:cs="Times New Roman"/>
          <w:sz w:val="24"/>
          <w:szCs w:val="24"/>
        </w:rPr>
        <w:t>对比。</w:t>
      </w:r>
    </w:p>
    <w:p w14:paraId="0C94A096">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Fig6c_plot_dOHCdt_monthly_ensemble_8error_source.py</w:t>
      </w:r>
    </w:p>
    <w:p w14:paraId="399E2869">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lang w:val="en-US" w:eastAsia="zh-CN"/>
        </w:rPr>
        <w:t>图6c.</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rPr>
        <w:t>全深度</w:t>
      </w:r>
      <w:r>
        <w:rPr>
          <w:rFonts w:hint="eastAsia" w:ascii="Times New Roman" w:hAnsi="Times New Roman" w:cs="Times New Roman"/>
          <w:sz w:val="24"/>
          <w:szCs w:val="24"/>
          <w:lang w:val="en-US" w:eastAsia="zh-CN"/>
        </w:rPr>
        <w:t>热含量</w:t>
      </w:r>
      <w:r>
        <w:rPr>
          <w:rFonts w:hint="eastAsia" w:ascii="Times New Roman" w:hAnsi="Times New Roman" w:cs="Times New Roman"/>
          <w:sz w:val="24"/>
          <w:szCs w:val="24"/>
        </w:rPr>
        <w:t>变率的月尺度</w:t>
      </w:r>
      <w:r>
        <w:rPr>
          <w:rFonts w:hint="eastAsia" w:ascii="Times New Roman" w:hAnsi="Times New Roman" w:cs="Times New Roman"/>
          <w:sz w:val="24"/>
          <w:szCs w:val="24"/>
          <w:lang w:val="en-US" w:eastAsia="zh-CN"/>
        </w:rPr>
        <w:t>8个误差源的</w:t>
      </w:r>
      <w:r>
        <w:rPr>
          <w:rFonts w:hint="eastAsia" w:ascii="Times New Roman" w:hAnsi="Times New Roman" w:cs="Times New Roman"/>
          <w:sz w:val="24"/>
          <w:szCs w:val="24"/>
        </w:rPr>
        <w:t>不确定性。</w:t>
      </w:r>
    </w:p>
    <w:p w14:paraId="4CCF1842">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Fig6d_plot_OHC_integrate_EEI_FS_TS.py</w:t>
      </w:r>
    </w:p>
    <w:p w14:paraId="1E968201">
      <w:pPr>
        <w:numPr>
          <w:ilvl w:val="0"/>
          <w:numId w:val="0"/>
        </w:numPr>
        <w:spacing w:line="360" w:lineRule="auto"/>
        <w:ind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lang w:val="en-US" w:eastAsia="zh-CN"/>
        </w:rPr>
        <w:t>图6d.</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与图6b一样，</w:t>
      </w:r>
      <w:r>
        <w:rPr>
          <w:rFonts w:hint="eastAsia" w:ascii="Times New Roman" w:hAnsi="Times New Roman" w:cs="Times New Roman"/>
          <w:sz w:val="24"/>
          <w:szCs w:val="24"/>
        </w:rPr>
        <w:t>但为2005–2023年期间的趋势序列</w:t>
      </w:r>
      <w:r>
        <w:rPr>
          <w:rFonts w:hint="eastAsia" w:ascii="Times New Roman" w:hAnsi="Times New Roman" w:cs="Times New Roman"/>
          <w:sz w:val="24"/>
          <w:szCs w:val="24"/>
          <w:lang w:eastAsia="zh-CN"/>
        </w:rPr>
        <w:t>。</w:t>
      </w:r>
    </w:p>
    <w:p w14:paraId="0311A9B8">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Fig7_plot_ensemble_OHC_trend_err_90CI_grid_4period.py</w:t>
      </w:r>
    </w:p>
    <w:p w14:paraId="78BD9BED">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lang w:val="en-US" w:eastAsia="zh-CN"/>
        </w:rPr>
        <w:t>图7.</w:t>
      </w:r>
      <w:r>
        <w:rPr>
          <w:rFonts w:hint="eastAsia" w:ascii="Times New Roman" w:hAnsi="Times New Roman" w:cs="Times New Roman"/>
          <w:sz w:val="24"/>
          <w:szCs w:val="24"/>
        </w:rPr>
        <w:t xml:space="preserve"> 1960–2023年、1960–1990年、1991–2023年、2005–2023年</w:t>
      </w:r>
      <w:r>
        <w:rPr>
          <w:rFonts w:hint="eastAsia" w:ascii="Times New Roman" w:hAnsi="Times New Roman" w:cs="Times New Roman"/>
          <w:sz w:val="24"/>
          <w:szCs w:val="24"/>
          <w:lang w:val="en-US" w:eastAsia="zh-CN"/>
        </w:rPr>
        <w:t>共4个阶段的热含量</w:t>
      </w:r>
      <w:r>
        <w:rPr>
          <w:rFonts w:hint="eastAsia" w:ascii="Times New Roman" w:hAnsi="Times New Roman" w:cs="Times New Roman"/>
          <w:sz w:val="24"/>
          <w:szCs w:val="24"/>
        </w:rPr>
        <w:t>趋势不确定性的空间分布</w:t>
      </w:r>
      <w:r>
        <w:rPr>
          <w:rFonts w:hint="eastAsia" w:ascii="Times New Roman" w:hAnsi="Times New Roman" w:cs="Times New Roman"/>
          <w:sz w:val="24"/>
          <w:szCs w:val="24"/>
          <w:lang w:eastAsia="zh-CN"/>
        </w:rPr>
        <w:t>。</w:t>
      </w:r>
    </w:p>
    <w:p w14:paraId="32424DB8">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FigS1_plot_ohc_std_vs_ensemble_number.py</w:t>
      </w:r>
    </w:p>
    <w:p w14:paraId="7B27019F">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eastAsia="宋体" w:cs="Times New Roman"/>
          <w:sz w:val="24"/>
          <w:szCs w:val="24"/>
          <w:lang w:val="en-US" w:eastAsia="zh-CN"/>
        </w:rPr>
        <w:t>图S1.</w:t>
      </w:r>
      <w:r>
        <w:rPr>
          <w:rFonts w:hint="default" w:ascii="Times New Roman" w:hAnsi="Times New Roman" w:eastAsia="宋体" w:cs="Times New Roman"/>
          <w:sz w:val="24"/>
          <w:szCs w:val="24"/>
          <w:lang w:val="en-US" w:eastAsia="zh-CN"/>
        </w:rPr>
        <w:t> 全球0–2000米</w:t>
      </w:r>
      <w:r>
        <w:rPr>
          <w:rFonts w:hint="eastAsia" w:ascii="Times New Roman" w:hAnsi="Times New Roman" w:eastAsia="宋体" w:cs="Times New Roman"/>
          <w:sz w:val="24"/>
          <w:szCs w:val="24"/>
          <w:lang w:val="en-US" w:eastAsia="zh-CN"/>
        </w:rPr>
        <w:t>热含量</w:t>
      </w:r>
      <w:r>
        <w:rPr>
          <w:rFonts w:hint="default" w:ascii="Times New Roman" w:hAnsi="Times New Roman" w:eastAsia="宋体" w:cs="Times New Roman"/>
          <w:sz w:val="24"/>
          <w:szCs w:val="24"/>
          <w:lang w:val="en-US" w:eastAsia="zh-CN"/>
        </w:rPr>
        <w:t>不确定性</w:t>
      </w:r>
      <w:r>
        <w:rPr>
          <w:rFonts w:hint="eastAsia" w:ascii="Times New Roman" w:hAnsi="Times New Roman" w:eastAsia="宋体" w:cs="Times New Roman"/>
          <w:sz w:val="24"/>
          <w:szCs w:val="24"/>
          <w:lang w:val="en-US" w:eastAsia="zh-CN"/>
        </w:rPr>
        <w:t>估算</w:t>
      </w:r>
      <w:r>
        <w:rPr>
          <w:rFonts w:hint="default" w:ascii="Times New Roman" w:hAnsi="Times New Roman" w:eastAsia="宋体" w:cs="Times New Roman"/>
          <w:sz w:val="24"/>
          <w:szCs w:val="24"/>
          <w:lang w:val="en-US" w:eastAsia="zh-CN"/>
        </w:rPr>
        <w:t>对集合样本量的依赖性。</w:t>
      </w:r>
    </w:p>
    <w:p w14:paraId="2EF2DAC2">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FigS2_plot_Number_of_each_step_bar_graph_used.py</w:t>
      </w:r>
    </w:p>
    <w:p w14:paraId="4AE43059">
      <w:pPr>
        <w:numPr>
          <w:ilvl w:val="0"/>
          <w:numId w:val="0"/>
        </w:numPr>
        <w:spacing w:line="360" w:lineRule="auto"/>
        <w:ind w:leftChars="0" w:firstLine="42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图S2. 大集合样本构建中每种技术的使用频率统计。</w:t>
      </w:r>
    </w:p>
    <w:p w14:paraId="56BE5B45">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FigS3_plot_OHC_TS_ensemble_err_range.py</w:t>
      </w:r>
    </w:p>
    <w:p w14:paraId="17FFB315">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图S3. 自1955年以来若干选定年份集合成员的分布。</w:t>
      </w:r>
    </w:p>
    <w:p w14:paraId="70F71145">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FigS4_plot_OHC0_700m_2000m.py</w:t>
      </w:r>
    </w:p>
    <w:p w14:paraId="32E81152">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Figure S4 in supplementary. Same as Figure 2b but for OHC0-700m and OHC700-2000m.</w:t>
      </w:r>
    </w:p>
    <w:p w14:paraId="491DACCD">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FigS5_plot_ohc_spatial_2000m_robinson.py</w:t>
      </w:r>
    </w:p>
    <w:p w14:paraId="0BD8920B">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图S5. 2005–2023年</w:t>
      </w:r>
      <w:r>
        <w:rPr>
          <w:rFonts w:hint="eastAsia" w:ascii="Times New Roman" w:hAnsi="Times New Roman" w:cs="Times New Roman"/>
          <w:sz w:val="24"/>
          <w:szCs w:val="24"/>
          <w:lang w:val="en-US" w:eastAsia="zh-CN"/>
        </w:rPr>
        <w:t>经过</w:t>
      </w:r>
      <w:r>
        <w:rPr>
          <w:rFonts w:hint="eastAsia" w:ascii="Times New Roman" w:hAnsi="Times New Roman" w:cs="Times New Roman"/>
          <w:sz w:val="24"/>
          <w:szCs w:val="24"/>
        </w:rPr>
        <w:t>CODC-QC与WOD-QC的0–2000米</w:t>
      </w:r>
      <w:r>
        <w:rPr>
          <w:rFonts w:hint="eastAsia" w:ascii="Times New Roman" w:hAnsi="Times New Roman" w:cs="Times New Roman"/>
          <w:sz w:val="24"/>
          <w:szCs w:val="24"/>
          <w:lang w:val="en-US" w:eastAsia="zh-CN"/>
        </w:rPr>
        <w:t>平均热含量</w:t>
      </w:r>
      <w:r>
        <w:rPr>
          <w:rFonts w:hint="eastAsia" w:ascii="Times New Roman" w:hAnsi="Times New Roman" w:cs="Times New Roman"/>
          <w:sz w:val="24"/>
          <w:szCs w:val="24"/>
        </w:rPr>
        <w:t>差异空间分布。</w:t>
      </w:r>
    </w:p>
    <w:p w14:paraId="39AD01C4">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FigS6_plot_Comparison_tem_ano_dis_within_2015_2023.py</w:t>
      </w:r>
    </w:p>
    <w:p w14:paraId="7593F75E">
      <w:pPr>
        <w:numPr>
          <w:ilvl w:val="0"/>
          <w:numId w:val="0"/>
        </w:numPr>
        <w:spacing w:line="360" w:lineRule="auto"/>
        <w:ind w:leftChars="0" w:firstLine="420" w:firstLineChars="0"/>
        <w:contextualSpacing/>
        <w:rPr>
          <w:rFonts w:hint="eastAsia" w:ascii="Times New Roman" w:hAnsi="Times New Roman" w:cs="Times New Roman"/>
          <w:sz w:val="24"/>
          <w:szCs w:val="24"/>
        </w:rPr>
      </w:pPr>
      <w:r>
        <w:rPr>
          <w:rFonts w:hint="eastAsia" w:ascii="Times New Roman" w:hAnsi="Times New Roman" w:cs="Times New Roman"/>
          <w:sz w:val="24"/>
          <w:szCs w:val="24"/>
        </w:rPr>
        <w:t>图S6. 2015–2023年西北太平洋所有现场</w:t>
      </w:r>
      <w:r>
        <w:rPr>
          <w:rFonts w:hint="eastAsia" w:ascii="Times New Roman" w:hAnsi="Times New Roman" w:cs="Times New Roman"/>
          <w:sz w:val="24"/>
          <w:szCs w:val="24"/>
          <w:lang w:val="en-US" w:eastAsia="zh-CN"/>
        </w:rPr>
        <w:t>观测数据</w:t>
      </w:r>
      <w:r>
        <w:rPr>
          <w:rFonts w:hint="eastAsia" w:ascii="Times New Roman" w:hAnsi="Times New Roman" w:cs="Times New Roman"/>
          <w:sz w:val="24"/>
          <w:szCs w:val="24"/>
        </w:rPr>
        <w:t>、WOD-QC</w:t>
      </w:r>
      <w:r>
        <w:rPr>
          <w:rFonts w:hint="eastAsia" w:ascii="Times New Roman" w:hAnsi="Times New Roman" w:cs="Times New Roman"/>
          <w:sz w:val="24"/>
          <w:szCs w:val="24"/>
          <w:lang w:val="en-US" w:eastAsia="zh-CN"/>
        </w:rPr>
        <w:t>后的</w:t>
      </w:r>
      <w:r>
        <w:rPr>
          <w:rFonts w:hint="eastAsia" w:ascii="Times New Roman" w:hAnsi="Times New Roman" w:cs="Times New Roman"/>
          <w:sz w:val="24"/>
          <w:szCs w:val="24"/>
        </w:rPr>
        <w:t>数据和CODC-QC</w:t>
      </w:r>
      <w:r>
        <w:rPr>
          <w:rFonts w:hint="eastAsia" w:ascii="Times New Roman" w:hAnsi="Times New Roman" w:cs="Times New Roman"/>
          <w:sz w:val="24"/>
          <w:szCs w:val="24"/>
          <w:lang w:val="en-US" w:eastAsia="zh-CN"/>
        </w:rPr>
        <w:t>后</w:t>
      </w:r>
      <w:r>
        <w:rPr>
          <w:rFonts w:hint="eastAsia" w:ascii="Times New Roman" w:hAnsi="Times New Roman" w:cs="Times New Roman"/>
          <w:sz w:val="24"/>
          <w:szCs w:val="24"/>
        </w:rPr>
        <w:t>数据的温度异常分布。</w:t>
      </w:r>
    </w:p>
    <w:p w14:paraId="49422598">
      <w:pPr>
        <w:numPr>
          <w:ilvl w:val="0"/>
          <w:numId w:val="3"/>
        </w:numPr>
        <w:spacing w:line="360" w:lineRule="auto"/>
        <w:ind w:left="0" w:leftChars="0" w:firstLine="0" w:firstLineChars="0"/>
        <w:contextualSpacing/>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FigS7_plot_8error_source_value_grid_global_robinson.py</w:t>
      </w:r>
    </w:p>
    <w:p w14:paraId="3B6FF4C4">
      <w:pPr>
        <w:spacing w:line="360" w:lineRule="auto"/>
        <w:ind w:firstLine="420" w:firstLineChars="0"/>
        <w:contextualSpacing/>
        <w:rPr>
          <w:rFonts w:hint="eastAsia" w:ascii="Times New Roman" w:hAnsi="Times New Roman" w:eastAsia="宋体" w:cs="Times New Roman"/>
          <w:sz w:val="24"/>
          <w:szCs w:val="24"/>
          <w:lang w:eastAsia="zh-CN"/>
        </w:rPr>
      </w:pPr>
      <w:r>
        <w:rPr>
          <w:rFonts w:hint="eastAsia" w:ascii="Times New Roman" w:hAnsi="Times New Roman" w:cs="Times New Roman"/>
          <w:sz w:val="24"/>
          <w:szCs w:val="24"/>
        </w:rPr>
        <w:t>图S7–S14. 自1955年以来各年代</w:t>
      </w: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rPr>
        <w:t>类误差源各自的0–2000米OHC十年平均空间格局和仪器不确定性</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分别为EnOI-DE格点化</w:t>
      </w:r>
      <w:r>
        <w:rPr>
          <w:rFonts w:hint="eastAsia" w:ascii="Times New Roman" w:hAnsi="Times New Roman" w:cs="Times New Roman"/>
          <w:sz w:val="24"/>
          <w:szCs w:val="24"/>
        </w:rPr>
        <w:t>方法</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气候态</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XBT偏差</w:t>
      </w:r>
      <w:r>
        <w:rPr>
          <w:rFonts w:hint="eastAsia" w:ascii="Times New Roman" w:hAnsi="Times New Roman" w:cs="Times New Roman"/>
          <w:sz w:val="24"/>
          <w:szCs w:val="24"/>
          <w:lang w:val="en-US" w:eastAsia="zh-CN"/>
        </w:rPr>
        <w:t>订正、</w:t>
      </w:r>
      <w:r>
        <w:rPr>
          <w:rFonts w:hint="eastAsia" w:ascii="Times New Roman" w:hAnsi="Times New Roman" w:cs="Times New Roman"/>
          <w:sz w:val="24"/>
          <w:szCs w:val="24"/>
        </w:rPr>
        <w:t>APB偏差</w:t>
      </w:r>
      <w:r>
        <w:rPr>
          <w:rFonts w:hint="eastAsia" w:ascii="Times New Roman" w:hAnsi="Times New Roman" w:cs="Times New Roman"/>
          <w:sz w:val="24"/>
          <w:szCs w:val="24"/>
          <w:lang w:val="en-US" w:eastAsia="zh-CN"/>
        </w:rPr>
        <w:t>订正、</w:t>
      </w:r>
      <w:r>
        <w:rPr>
          <w:rFonts w:hint="eastAsia" w:ascii="Times New Roman" w:hAnsi="Times New Roman" w:cs="Times New Roman"/>
          <w:sz w:val="24"/>
          <w:szCs w:val="24"/>
        </w:rPr>
        <w:t>MBT</w:t>
      </w:r>
      <w:r>
        <w:rPr>
          <w:rFonts w:hint="eastAsia" w:ascii="Times New Roman" w:hAnsi="Times New Roman" w:cs="Times New Roman"/>
          <w:sz w:val="24"/>
          <w:szCs w:val="24"/>
          <w:lang w:val="en-US" w:eastAsia="zh-CN"/>
        </w:rPr>
        <w:t>偏差订正、</w:t>
      </w:r>
      <w:r>
        <w:rPr>
          <w:rFonts w:hint="eastAsia" w:ascii="Times New Roman" w:hAnsi="Times New Roman" w:cs="Times New Roman"/>
          <w:sz w:val="24"/>
          <w:szCs w:val="24"/>
        </w:rPr>
        <w:t>BOT偏差</w:t>
      </w:r>
      <w:r>
        <w:rPr>
          <w:rFonts w:hint="eastAsia" w:ascii="Times New Roman" w:hAnsi="Times New Roman" w:cs="Times New Roman"/>
          <w:sz w:val="24"/>
          <w:szCs w:val="24"/>
          <w:lang w:val="en-US" w:eastAsia="zh-CN"/>
        </w:rPr>
        <w:t>订正</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垂向</w:t>
      </w:r>
      <w:r>
        <w:rPr>
          <w:rFonts w:hint="eastAsia" w:ascii="Times New Roman" w:hAnsi="Times New Roman" w:cs="Times New Roman"/>
          <w:sz w:val="24"/>
          <w:szCs w:val="24"/>
        </w:rPr>
        <w:t>插值</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质量控制</w:t>
      </w:r>
      <w:r>
        <w:rPr>
          <w:rFonts w:hint="eastAsia" w:ascii="Times New Roman" w:hAnsi="Times New Roman" w:cs="Times New Roman"/>
          <w:sz w:val="24"/>
          <w:szCs w:val="24"/>
          <w:lang w:eastAsia="zh-CN"/>
        </w:rPr>
        <w:t>。</w:t>
      </w:r>
    </w:p>
    <w:p w14:paraId="64C36063">
      <w:pPr>
        <w:spacing w:line="360" w:lineRule="auto"/>
        <w:contextualSpacing/>
        <w:rPr>
          <w:rFonts w:ascii="Times New Roman" w:hAnsi="Times New Roman" w:cs="Times New Roman"/>
          <w:sz w:val="24"/>
          <w:szCs w:val="24"/>
        </w:rPr>
      </w:pPr>
    </w:p>
    <w:p w14:paraId="7D993932">
      <w:pPr>
        <w:pStyle w:val="33"/>
        <w:numPr>
          <w:ilvl w:val="0"/>
          <w:numId w:val="1"/>
        </w:numPr>
        <w:spacing w:after="0" w:line="360" w:lineRule="auto"/>
        <w:rPr>
          <w:rFonts w:ascii="Times New Roman" w:hAnsi="Times New Roman" w:cs="Times New Roman"/>
          <w:sz w:val="24"/>
          <w:szCs w:val="24"/>
        </w:rPr>
      </w:pPr>
      <w:r>
        <w:rPr>
          <w:rFonts w:hint="eastAsia" w:ascii="Times New Roman" w:hAnsi="Times New Roman" w:cs="Times New Roman"/>
          <w:sz w:val="24"/>
          <w:szCs w:val="24"/>
          <w:lang w:val="en-US" w:eastAsia="zh-CN"/>
        </w:rPr>
        <w:t>文中源图</w:t>
      </w:r>
    </w:p>
    <w:p w14:paraId="3C4515B2">
      <w:pPr>
        <w:spacing w:line="360" w:lineRule="auto"/>
        <w:ind w:firstLine="420" w:firstLineChars="0"/>
        <w:contextualSpacing/>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文中使用到的源图像均以</w:t>
      </w:r>
      <w:r>
        <w:rPr>
          <w:rFonts w:hint="default" w:ascii="Times New Roman" w:hAnsi="Times New Roman" w:cs="Times New Roman"/>
          <w:sz w:val="24"/>
          <w:szCs w:val="24"/>
          <w:lang w:val="en-US" w:eastAsia="zh-CN"/>
        </w:rPr>
        <w:t>*.ai</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.pdf</w:t>
      </w:r>
      <w:r>
        <w:rPr>
          <w:rFonts w:hint="eastAsia" w:ascii="Times New Roman" w:hAnsi="Times New Roman" w:cs="Times New Roman"/>
          <w:sz w:val="24"/>
          <w:szCs w:val="24"/>
          <w:lang w:val="en-US" w:eastAsia="zh-CN"/>
        </w:rPr>
        <w:t>和*</w:t>
      </w:r>
      <w:r>
        <w:rPr>
          <w:rFonts w:hint="default" w:ascii="Times New Roman" w:hAnsi="Times New Roman" w:cs="Times New Roman"/>
          <w:sz w:val="24"/>
          <w:szCs w:val="24"/>
          <w:lang w:val="en-US" w:eastAsia="zh-CN"/>
        </w:rPr>
        <w:t>.ppt</w:t>
      </w:r>
      <w:r>
        <w:rPr>
          <w:rFonts w:hint="eastAsia" w:ascii="Times New Roman" w:hAnsi="Times New Roman" w:cs="Times New Roman"/>
          <w:sz w:val="24"/>
          <w:szCs w:val="24"/>
          <w:lang w:val="en-US" w:eastAsia="zh-CN"/>
        </w:rPr>
        <w:t>等格式存储路径为：</w:t>
      </w:r>
    </w:p>
    <w:p w14:paraId="0D52F762">
      <w:pPr>
        <w:pStyle w:val="12"/>
        <w:widowControl/>
        <w:spacing w:line="360" w:lineRule="auto"/>
        <w:rPr>
          <w:rFonts w:hint="default" w:ascii="Times New Roman Regular" w:hAnsi="Times New Roman Regular" w:eastAsia="Times New Roman Regular" w:cs="Times New Roman Regular"/>
          <w:sz w:val="24"/>
          <w:szCs w:val="24"/>
          <w:lang w:val="en-US"/>
        </w:rPr>
      </w:pPr>
      <w:r>
        <w:rPr>
          <w:rFonts w:hint="eastAsia" w:ascii="Times New Roman Regular" w:hAnsi="Times New Roman Regular" w:eastAsia="宋体" w:cs="Times New Roman Regular"/>
          <w:color w:val="0F1115"/>
          <w:sz w:val="24"/>
          <w:szCs w:val="24"/>
          <w:shd w:val="clear" w:fill="FFFFFF"/>
          <w:lang w:val="en-US" w:eastAsia="zh-CN"/>
        </w:rPr>
        <w:t>线上路径：</w:t>
      </w:r>
      <w:r>
        <w:rPr>
          <w:rFonts w:hint="default" w:ascii="Times New Roman Regular" w:hAnsi="Times New Roman Regular" w:eastAsia="Helvetica Neue" w:cs="Times New Roman Regular"/>
          <w:color w:val="0F1115"/>
          <w:sz w:val="24"/>
          <w:szCs w:val="24"/>
          <w:shd w:val="clear" w:fill="FFFFFF"/>
          <w:lang w:val="en-US"/>
        </w:rPr>
        <w:t> </w:t>
      </w:r>
      <w:r>
        <w:rPr>
          <w:rFonts w:hint="default" w:ascii="Times New Roman Regular" w:hAnsi="Times New Roman Regular" w:eastAsia="Helvetica Neue" w:cs="Times New Roman Regular"/>
          <w:sz w:val="24"/>
          <w:szCs w:val="24"/>
          <w:bdr w:val="single" w:color="auto" w:sz="24" w:space="0"/>
          <w:shd w:val="clear" w:fill="FFFFFF"/>
          <w:lang w:val="en-US"/>
        </w:rPr>
        <w:fldChar w:fldCharType="begin"/>
      </w:r>
      <w:r>
        <w:rPr>
          <w:rFonts w:hint="default" w:ascii="Times New Roman Regular" w:hAnsi="Times New Roman Regular" w:eastAsia="Helvetica Neue" w:cs="Times New Roman Regular"/>
          <w:sz w:val="24"/>
          <w:szCs w:val="24"/>
          <w:bdr w:val="single" w:color="auto" w:sz="24" w:space="0"/>
          <w:shd w:val="clear" w:fill="FFFFFF"/>
          <w:lang w:val="en-US"/>
        </w:rPr>
        <w:instrText xml:space="preserve"> HYPERLINK "http://www.ocean.iap.ac.cn/ftp/ensemble/code/" \t "/Users/huifengyuan/Documents\\x/_blank" </w:instrText>
      </w:r>
      <w:r>
        <w:rPr>
          <w:rFonts w:hint="default" w:ascii="Times New Roman Regular" w:hAnsi="Times New Roman Regular" w:eastAsia="Helvetica Neue" w:cs="Times New Roman Regular"/>
          <w:sz w:val="24"/>
          <w:szCs w:val="24"/>
          <w:bdr w:val="single" w:color="auto" w:sz="24" w:space="0"/>
          <w:shd w:val="clear" w:fill="FFFFFF"/>
          <w:lang w:val="en-US"/>
        </w:rPr>
        <w:fldChar w:fldCharType="separate"/>
      </w:r>
      <w:r>
        <w:rPr>
          <w:rStyle w:val="18"/>
          <w:rFonts w:hint="default" w:ascii="Times New Roman Regular" w:hAnsi="Times New Roman Regular" w:eastAsia="Helvetica Neue" w:cs="Times New Roman Regular"/>
          <w:color w:val="3964FE"/>
          <w:sz w:val="24"/>
          <w:szCs w:val="24"/>
          <w:u w:val="none"/>
          <w:shd w:val="clear" w:fill="FFFFFF"/>
          <w:lang w:val="en-US"/>
        </w:rPr>
        <w:t>http://www.ocean.iap.ac.cn/ftp/ensemble/</w:t>
      </w:r>
      <w:r>
        <w:rPr>
          <w:rStyle w:val="18"/>
          <w:rFonts w:hint="eastAsia" w:ascii="Times New Roman Regular" w:hAnsi="Times New Roman Regular" w:eastAsia="宋体" w:cs="Times New Roman Regular"/>
          <w:color w:val="3964FE"/>
          <w:sz w:val="24"/>
          <w:szCs w:val="24"/>
          <w:u w:val="none"/>
          <w:shd w:val="clear" w:fill="FFFFFF"/>
          <w:lang w:val="en-US" w:eastAsia="zh-CN"/>
        </w:rPr>
        <w:t>figure</w:t>
      </w:r>
      <w:r>
        <w:rPr>
          <w:rStyle w:val="18"/>
          <w:rFonts w:hint="default" w:ascii="Times New Roman Regular" w:hAnsi="Times New Roman Regular" w:eastAsia="Helvetica Neue" w:cs="Times New Roman Regular"/>
          <w:color w:val="3964FE"/>
          <w:sz w:val="24"/>
          <w:szCs w:val="24"/>
          <w:u w:val="none"/>
          <w:shd w:val="clear" w:fill="FFFFFF"/>
          <w:lang w:val="en-US"/>
        </w:rPr>
        <w:t>/</w:t>
      </w:r>
      <w:r>
        <w:rPr>
          <w:rFonts w:hint="default" w:ascii="Times New Roman Regular" w:hAnsi="Times New Roman Regular" w:eastAsia="Helvetica Neue" w:cs="Times New Roman Regular"/>
          <w:sz w:val="24"/>
          <w:szCs w:val="24"/>
          <w:bdr w:val="single" w:color="auto" w:sz="24" w:space="0"/>
          <w:shd w:val="clear" w:fill="FFFFFF"/>
          <w:lang w:val="en-US"/>
        </w:rPr>
        <w:fldChar w:fldCharType="end"/>
      </w:r>
    </w:p>
    <w:p w14:paraId="5783D812">
      <w:pPr>
        <w:pStyle w:val="12"/>
        <w:widowControl/>
        <w:spacing w:line="360" w:lineRule="auto"/>
        <w:rPr>
          <w:rFonts w:hint="eastAsia" w:ascii="Times New Roman" w:hAnsi="Times New Roman" w:eastAsia="宋体" w:cs="Times New Roman"/>
          <w:sz w:val="24"/>
          <w:szCs w:val="24"/>
          <w:lang w:val="en-US" w:eastAsia="zh-CN"/>
        </w:rPr>
      </w:pPr>
      <w:r>
        <w:rPr>
          <w:rFonts w:hint="eastAsia" w:ascii="Times New Roman Regular" w:hAnsi="Times New Roman Regular" w:eastAsia="宋体" w:cs="Times New Roman Regular"/>
          <w:color w:val="0F1115"/>
          <w:sz w:val="24"/>
          <w:szCs w:val="24"/>
          <w:shd w:val="clear" w:fill="FFFFFF"/>
          <w:lang w:val="en-US" w:eastAsia="zh-CN"/>
        </w:rPr>
        <w:t>本地路径：Figure</w:t>
      </w:r>
      <w:r>
        <w:rPr>
          <w:rStyle w:val="19"/>
          <w:rFonts w:hint="eastAsia" w:ascii="Times New Roman Regular" w:hAnsi="Times New Roman Regular" w:eastAsia="宋体" w:cs="Times New Roman Regular"/>
          <w:color w:val="0F1115"/>
          <w:sz w:val="24"/>
          <w:szCs w:val="24"/>
          <w:lang w:val="en-US" w:eastAsia="zh-CN"/>
        </w:rPr>
        <w:t>文件夹</w:t>
      </w:r>
    </w:p>
    <w:p w14:paraId="41F5A62D">
      <w:pPr>
        <w:spacing w:line="360" w:lineRule="auto"/>
        <w:contextualSpacing/>
        <w:rPr>
          <w:rFonts w:hint="eastAsia" w:ascii="Times New Roman" w:hAnsi="Times New Roman" w:cs="Times New Roman"/>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儷宋 Pro">
    <w:panose1 w:val="02020300000000000000"/>
    <w:charset w:val="88"/>
    <w:family w:val="auto"/>
    <w:pitch w:val="default"/>
    <w:sig w:usb0="80000001" w:usb1="28091800" w:usb2="00000016" w:usb3="00000000" w:csb0="001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Menlo">
    <w:panose1 w:val="020B0609030804020204"/>
    <w:charset w:val="00"/>
    <w:family w:val="auto"/>
    <w:pitch w:val="fixed"/>
    <w:sig w:usb0="E60022FF" w:usb1="D200F9FB" w:usb2="02000028" w:usb3="00000000" w:csb0="600001DF" w:csb1="FFDF0000"/>
  </w:font>
  <w:font w:name="Times New Roman Regular">
    <w:panose1 w:val="02020503050405090304"/>
    <w:charset w:val="00"/>
    <w:family w:val="auto"/>
    <w:pitch w:val="default"/>
    <w:sig w:usb0="E0000AFF" w:usb1="00007843" w:usb2="00000001" w:usb3="00000000" w:csb0="400001BF" w:csb1="DFF70000"/>
  </w:font>
  <w:font w:name="@宋体">
    <w:altName w:val="汉仪书宋二KW"/>
    <w:panose1 w:val="02010600030101010101"/>
    <w:charset w:val="86"/>
    <w:family w:val="auto"/>
    <w:pitch w:val="variable"/>
    <w:sig w:usb0="00000203" w:usb1="288F0000" w:usb2="00000016" w:usb3="00000000" w:csb0="00040001" w:csb1="00000000"/>
  </w:font>
  <w:font w:name="Cambria Math">
    <w:altName w:val="Kingsoft Math"/>
    <w:panose1 w:val="02040503050406030204"/>
    <w:charset w:val="00"/>
    <w:family w:val="auto"/>
    <w:pitch w:val="variable"/>
    <w:sig w:usb0="E00002FF" w:usb1="420024FF" w:usb2="00000000" w:usb3="00000000" w:csb0="0000019F" w:csb1="00000000"/>
  </w:font>
  <w:font w:name="Courier New">
    <w:panose1 w:val="02070409020205090404"/>
    <w:charset w:val="00"/>
    <w:family w:val="auto"/>
    <w:pitch w:val="default"/>
    <w:sig w:usb0="E0000AFF" w:usb1="4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Kingsoft Math">
    <w:panose1 w:val="02040503050406030204"/>
    <w:charset w:val="00"/>
    <w:family w:val="auto"/>
    <w:pitch w:val="default"/>
    <w:sig w:usb0="80000087" w:usb1="00002068"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CE048B"/>
    <w:multiLevelType w:val="singleLevel"/>
    <w:tmpl w:val="BDCE048B"/>
    <w:lvl w:ilvl="0" w:tentative="0">
      <w:start w:val="1"/>
      <w:numFmt w:val="decimal"/>
      <w:lvlText w:val="(%1)"/>
      <w:lvlJc w:val="left"/>
      <w:pPr>
        <w:ind w:left="425" w:hanging="425"/>
      </w:pPr>
      <w:rPr>
        <w:rFonts w:hint="default"/>
      </w:rPr>
    </w:lvl>
  </w:abstractNum>
  <w:abstractNum w:abstractNumId="1">
    <w:nsid w:val="DDEF567D"/>
    <w:multiLevelType w:val="singleLevel"/>
    <w:tmpl w:val="DDEF567D"/>
    <w:lvl w:ilvl="0" w:tentative="0">
      <w:start w:val="1"/>
      <w:numFmt w:val="decimal"/>
      <w:lvlText w:val="(%1)"/>
      <w:lvlJc w:val="left"/>
      <w:pPr>
        <w:ind w:left="425" w:hanging="425"/>
      </w:pPr>
      <w:rPr>
        <w:rFonts w:hint="default"/>
      </w:rPr>
    </w:lvl>
  </w:abstractNum>
  <w:abstractNum w:abstractNumId="2">
    <w:nsid w:val="26583F58"/>
    <w:multiLevelType w:val="multilevel"/>
    <w:tmpl w:val="26583F5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821"/>
    <w:rsid w:val="00043133"/>
    <w:rsid w:val="0009137B"/>
    <w:rsid w:val="000D1E61"/>
    <w:rsid w:val="00123378"/>
    <w:rsid w:val="00147EDB"/>
    <w:rsid w:val="001A1D01"/>
    <w:rsid w:val="001D1860"/>
    <w:rsid w:val="00292036"/>
    <w:rsid w:val="002C26FF"/>
    <w:rsid w:val="002F10FD"/>
    <w:rsid w:val="0034582D"/>
    <w:rsid w:val="00523CE2"/>
    <w:rsid w:val="00570033"/>
    <w:rsid w:val="0069467F"/>
    <w:rsid w:val="006B0E1D"/>
    <w:rsid w:val="006D0BDB"/>
    <w:rsid w:val="006E101F"/>
    <w:rsid w:val="007479E6"/>
    <w:rsid w:val="007B098A"/>
    <w:rsid w:val="007E7821"/>
    <w:rsid w:val="007F241E"/>
    <w:rsid w:val="0082259E"/>
    <w:rsid w:val="00827437"/>
    <w:rsid w:val="00887D84"/>
    <w:rsid w:val="008D3D1E"/>
    <w:rsid w:val="0096672B"/>
    <w:rsid w:val="00AE0D5F"/>
    <w:rsid w:val="00AE54A7"/>
    <w:rsid w:val="00B237E2"/>
    <w:rsid w:val="00B76BAE"/>
    <w:rsid w:val="00CA0CD2"/>
    <w:rsid w:val="00CD329D"/>
    <w:rsid w:val="00CD4A00"/>
    <w:rsid w:val="00E12B3E"/>
    <w:rsid w:val="00FA721F"/>
    <w:rsid w:val="00FC1924"/>
    <w:rsid w:val="0BFC6149"/>
    <w:rsid w:val="3FFC4DBE"/>
    <w:rsid w:val="56FD4C74"/>
    <w:rsid w:val="57EF3273"/>
    <w:rsid w:val="5BFDBE28"/>
    <w:rsid w:val="6A7F4C26"/>
    <w:rsid w:val="6F5FBCB1"/>
    <w:rsid w:val="6FF2D3B5"/>
    <w:rsid w:val="7A9FBFFC"/>
    <w:rsid w:val="7AF7C47A"/>
    <w:rsid w:val="7D6D5F8C"/>
    <w:rsid w:val="7ECFB886"/>
    <w:rsid w:val="7EFAA8C9"/>
    <w:rsid w:val="7FB853AC"/>
    <w:rsid w:val="7FF379B4"/>
    <w:rsid w:val="7FFB98DF"/>
    <w:rsid w:val="AF9E8E4E"/>
    <w:rsid w:val="B1FE53E0"/>
    <w:rsid w:val="BBB72CE9"/>
    <w:rsid w:val="BFEE4398"/>
    <w:rsid w:val="BFFEB055"/>
    <w:rsid w:val="BFFF246A"/>
    <w:rsid w:val="CCF7B6DD"/>
    <w:rsid w:val="D3FF291A"/>
    <w:rsid w:val="DFFFA70F"/>
    <w:rsid w:val="F7F61B57"/>
    <w:rsid w:val="FA3E26C5"/>
    <w:rsid w:val="FDEDC3E8"/>
    <w:rsid w:val="FEF71FCC"/>
    <w:rsid w:val="FFC4B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widowControl w:val="0"/>
      <w:spacing w:before="480" w:after="80" w:line="278" w:lineRule="auto"/>
      <w:outlineLvl w:val="0"/>
    </w:pPr>
    <w:rPr>
      <w:rFonts w:asciiTheme="majorHAnsi" w:hAnsiTheme="majorHAnsi" w:eastAsiaTheme="majorEastAsia" w:cstheme="majorBidi"/>
      <w:color w:val="104862" w:themeColor="accent1" w:themeShade="BF"/>
      <w:kern w:val="2"/>
      <w:sz w:val="48"/>
      <w:szCs w:val="48"/>
      <w14:ligatures w14:val="standardContextual"/>
    </w:rPr>
  </w:style>
  <w:style w:type="paragraph" w:styleId="3">
    <w:name w:val="heading 2"/>
    <w:basedOn w:val="1"/>
    <w:next w:val="1"/>
    <w:link w:val="21"/>
    <w:semiHidden/>
    <w:unhideWhenUsed/>
    <w:qFormat/>
    <w:uiPriority w:val="9"/>
    <w:pPr>
      <w:keepNext/>
      <w:keepLines/>
      <w:widowControl w:val="0"/>
      <w:spacing w:before="160" w:after="80" w:line="278" w:lineRule="auto"/>
      <w:outlineLvl w:val="1"/>
    </w:pPr>
    <w:rPr>
      <w:rFonts w:asciiTheme="majorHAnsi" w:hAnsiTheme="majorHAnsi" w:eastAsiaTheme="majorEastAsia" w:cstheme="majorBidi"/>
      <w:color w:val="104862" w:themeColor="accent1" w:themeShade="BF"/>
      <w:kern w:val="2"/>
      <w:sz w:val="40"/>
      <w:szCs w:val="40"/>
      <w14:ligatures w14:val="standardContextual"/>
    </w:rPr>
  </w:style>
  <w:style w:type="paragraph" w:styleId="4">
    <w:name w:val="heading 3"/>
    <w:basedOn w:val="1"/>
    <w:next w:val="1"/>
    <w:link w:val="22"/>
    <w:semiHidden/>
    <w:unhideWhenUsed/>
    <w:qFormat/>
    <w:uiPriority w:val="9"/>
    <w:pPr>
      <w:keepNext/>
      <w:keepLines/>
      <w:widowControl w:val="0"/>
      <w:spacing w:before="160" w:after="80" w:line="278" w:lineRule="auto"/>
      <w:outlineLvl w:val="2"/>
    </w:pPr>
    <w:rPr>
      <w:rFonts w:asciiTheme="majorHAnsi" w:hAnsiTheme="majorHAnsi" w:eastAsiaTheme="majorEastAsia" w:cstheme="majorBidi"/>
      <w:color w:val="104862" w:themeColor="accent1" w:themeShade="BF"/>
      <w:kern w:val="2"/>
      <w:sz w:val="32"/>
      <w:szCs w:val="32"/>
      <w14:ligatures w14:val="standardContextual"/>
    </w:rPr>
  </w:style>
  <w:style w:type="paragraph" w:styleId="5">
    <w:name w:val="heading 4"/>
    <w:basedOn w:val="1"/>
    <w:next w:val="1"/>
    <w:link w:val="23"/>
    <w:semiHidden/>
    <w:unhideWhenUsed/>
    <w:qFormat/>
    <w:uiPriority w:val="9"/>
    <w:pPr>
      <w:keepNext/>
      <w:keepLines/>
      <w:widowControl w:val="0"/>
      <w:spacing w:before="80" w:after="40" w:line="278" w:lineRule="auto"/>
      <w:outlineLvl w:val="3"/>
    </w:pPr>
    <w:rPr>
      <w:rFonts w:asciiTheme="minorHAnsi" w:hAnsiTheme="minorHAnsi" w:eastAsiaTheme="minorEastAsia" w:cstheme="majorBidi"/>
      <w:color w:val="104862" w:themeColor="accent1" w:themeShade="BF"/>
      <w:kern w:val="2"/>
      <w:sz w:val="28"/>
      <w:szCs w:val="28"/>
      <w14:ligatures w14:val="standardContextual"/>
    </w:rPr>
  </w:style>
  <w:style w:type="paragraph" w:styleId="6">
    <w:name w:val="heading 5"/>
    <w:basedOn w:val="1"/>
    <w:next w:val="1"/>
    <w:link w:val="24"/>
    <w:semiHidden/>
    <w:unhideWhenUsed/>
    <w:qFormat/>
    <w:uiPriority w:val="9"/>
    <w:pPr>
      <w:keepNext/>
      <w:keepLines/>
      <w:widowControl w:val="0"/>
      <w:spacing w:before="80" w:after="40" w:line="278" w:lineRule="auto"/>
      <w:outlineLvl w:val="4"/>
    </w:pPr>
    <w:rPr>
      <w:rFonts w:asciiTheme="minorHAnsi" w:hAnsiTheme="minorHAnsi" w:eastAsiaTheme="minorEastAsia" w:cstheme="majorBidi"/>
      <w:color w:val="104862" w:themeColor="accent1" w:themeShade="BF"/>
      <w:kern w:val="2"/>
      <w14:ligatures w14:val="standardContextual"/>
    </w:rPr>
  </w:style>
  <w:style w:type="paragraph" w:styleId="7">
    <w:name w:val="heading 6"/>
    <w:basedOn w:val="1"/>
    <w:next w:val="1"/>
    <w:link w:val="25"/>
    <w:semiHidden/>
    <w:unhideWhenUsed/>
    <w:qFormat/>
    <w:uiPriority w:val="9"/>
    <w:pPr>
      <w:keepNext/>
      <w:keepLines/>
      <w:widowControl w:val="0"/>
      <w:spacing w:before="40" w:line="278" w:lineRule="auto"/>
      <w:outlineLvl w:val="5"/>
    </w:pPr>
    <w:rPr>
      <w:rFonts w:asciiTheme="minorHAnsi" w:hAnsiTheme="minorHAnsi" w:eastAsiaTheme="minorEastAsia" w:cstheme="majorBidi"/>
      <w:b/>
      <w:bCs/>
      <w:color w:val="104862" w:themeColor="accent1" w:themeShade="BF"/>
      <w:kern w:val="2"/>
      <w:sz w:val="22"/>
      <w14:ligatures w14:val="standardContextual"/>
    </w:rPr>
  </w:style>
  <w:style w:type="paragraph" w:styleId="8">
    <w:name w:val="heading 7"/>
    <w:basedOn w:val="1"/>
    <w:next w:val="1"/>
    <w:link w:val="26"/>
    <w:semiHidden/>
    <w:unhideWhenUsed/>
    <w:qFormat/>
    <w:uiPriority w:val="9"/>
    <w:pPr>
      <w:keepNext/>
      <w:keepLines/>
      <w:widowControl w:val="0"/>
      <w:spacing w:before="40" w:line="278" w:lineRule="auto"/>
      <w:outlineLvl w:val="6"/>
    </w:pPr>
    <w:rPr>
      <w:rFonts w:asciiTheme="minorHAnsi" w:hAnsiTheme="minorHAnsi" w:eastAsiaTheme="minorEastAsia" w:cstheme="majorBidi"/>
      <w:b/>
      <w:bCs/>
      <w:color w:val="595959" w:themeColor="text1" w:themeTint="A6"/>
      <w:kern w:val="2"/>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7"/>
    <w:semiHidden/>
    <w:unhideWhenUsed/>
    <w:qFormat/>
    <w:uiPriority w:val="9"/>
    <w:pPr>
      <w:keepNext/>
      <w:keepLines/>
      <w:widowControl w:val="0"/>
      <w:spacing w:line="278" w:lineRule="auto"/>
      <w:outlineLvl w:val="7"/>
    </w:pPr>
    <w:rPr>
      <w:rFonts w:asciiTheme="minorHAnsi" w:hAnsiTheme="minorHAnsi" w:eastAsiaTheme="minorEastAsia" w:cstheme="majorBidi"/>
      <w:color w:val="595959" w:themeColor="text1" w:themeTint="A6"/>
      <w:kern w:val="2"/>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8"/>
    <w:semiHidden/>
    <w:unhideWhenUsed/>
    <w:qFormat/>
    <w:uiPriority w:val="9"/>
    <w:pPr>
      <w:keepNext/>
      <w:keepLines/>
      <w:widowControl w:val="0"/>
      <w:spacing w:line="278" w:lineRule="auto"/>
      <w:outlineLvl w:val="8"/>
    </w:pPr>
    <w:rPr>
      <w:rFonts w:asciiTheme="minorHAnsi" w:hAnsiTheme="minorHAnsi" w:eastAsiaTheme="majorEastAsia" w:cstheme="majorBidi"/>
      <w:color w:val="595959" w:themeColor="text1" w:themeTint="A6"/>
      <w:kern w:val="2"/>
      <w:sz w:val="22"/>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uiPriority w:val="1"/>
  </w:style>
  <w:style w:type="table" w:default="1" w:styleId="1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Subtitle"/>
    <w:basedOn w:val="1"/>
    <w:next w:val="1"/>
    <w:link w:val="30"/>
    <w:qFormat/>
    <w:uiPriority w:val="11"/>
    <w:pPr>
      <w:widowControl w:val="0"/>
      <w:spacing w:after="160" w:line="278" w:lineRule="auto"/>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2">
    <w:name w:val="Normal (Web)"/>
    <w:basedOn w:val="1"/>
    <w:semiHidden/>
    <w:unhideWhenUsed/>
    <w:uiPriority w:val="99"/>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13">
    <w:name w:val="Title"/>
    <w:basedOn w:val="1"/>
    <w:next w:val="1"/>
    <w:link w:val="29"/>
    <w:qFormat/>
    <w:uiPriority w:val="10"/>
    <w:pPr>
      <w:widowControl w:val="0"/>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5">
    <w:name w:val="Table Grid"/>
    <w:basedOn w:val="1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semiHidden/>
    <w:unhideWhenUsed/>
    <w:uiPriority w:val="99"/>
    <w:rPr>
      <w:color w:val="96607D"/>
      <w:u w:val="single"/>
    </w:rPr>
  </w:style>
  <w:style w:type="character" w:styleId="18">
    <w:name w:val="Hyperlink"/>
    <w:basedOn w:val="16"/>
    <w:semiHidden/>
    <w:unhideWhenUsed/>
    <w:uiPriority w:val="99"/>
    <w:rPr>
      <w:color w:val="0000FF"/>
      <w:u w:val="single"/>
    </w:rPr>
  </w:style>
  <w:style w:type="character" w:styleId="19">
    <w:name w:val="HTML Code"/>
    <w:basedOn w:val="16"/>
    <w:semiHidden/>
    <w:unhideWhenUsed/>
    <w:uiPriority w:val="99"/>
    <w:rPr>
      <w:rFonts w:ascii="Courier New" w:hAnsi="Courier New" w:eastAsia="Times New Roman" w:cs="Times New Roman"/>
      <w:sz w:val="20"/>
    </w:rPr>
  </w:style>
  <w:style w:type="character" w:customStyle="1" w:styleId="20">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6"/>
    <w:link w:val="5"/>
    <w:semiHidden/>
    <w:uiPriority w:val="9"/>
    <w:rPr>
      <w:rFonts w:cstheme="majorBidi"/>
      <w:color w:val="104862" w:themeColor="accent1" w:themeShade="BF"/>
      <w:sz w:val="28"/>
      <w:szCs w:val="28"/>
    </w:rPr>
  </w:style>
  <w:style w:type="character" w:customStyle="1" w:styleId="24">
    <w:name w:val="标题 5 字符"/>
    <w:basedOn w:val="16"/>
    <w:link w:val="6"/>
    <w:semiHidden/>
    <w:uiPriority w:val="9"/>
    <w:rPr>
      <w:rFonts w:cstheme="majorBidi"/>
      <w:color w:val="104862" w:themeColor="accent1" w:themeShade="BF"/>
      <w:sz w:val="24"/>
    </w:rPr>
  </w:style>
  <w:style w:type="character" w:customStyle="1" w:styleId="25">
    <w:name w:val="标题 6 字符"/>
    <w:basedOn w:val="16"/>
    <w:link w:val="7"/>
    <w:semiHidden/>
    <w:uiPriority w:val="9"/>
    <w:rPr>
      <w:rFonts w:cstheme="majorBidi"/>
      <w:b/>
      <w:bCs/>
      <w:color w:val="104862" w:themeColor="accent1" w:themeShade="BF"/>
    </w:rPr>
  </w:style>
  <w:style w:type="character" w:customStyle="1" w:styleId="26">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6"/>
    <w:link w:val="13"/>
    <w:uiPriority w:val="10"/>
    <w:rPr>
      <w:rFonts w:asciiTheme="majorHAnsi" w:hAnsiTheme="majorHAnsi" w:eastAsiaTheme="majorEastAsia" w:cstheme="majorBidi"/>
      <w:spacing w:val="-10"/>
      <w:kern w:val="28"/>
      <w:sz w:val="56"/>
      <w:szCs w:val="56"/>
    </w:rPr>
  </w:style>
  <w:style w:type="character" w:customStyle="1" w:styleId="30">
    <w:name w:val="副标题 字符"/>
    <w:basedOn w:val="16"/>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widowControl w:val="0"/>
      <w:spacing w:before="160" w:after="160" w:line="278" w:lineRule="auto"/>
      <w:jc w:val="center"/>
    </w:pPr>
    <w:rPr>
      <w:rFonts w:asciiTheme="minorHAnsi" w:hAnsiTheme="minorHAnsi" w:eastAsiaTheme="minorEastAsia" w:cstheme="minorBidi"/>
      <w:i/>
      <w:iCs/>
      <w:color w:val="404040" w:themeColor="text1" w:themeTint="BF"/>
      <w:kern w:val="2"/>
      <w:sz w:val="22"/>
      <w14:textFill>
        <w14:solidFill>
          <w14:schemeClr w14:val="tx1">
            <w14:lumMod w14:val="75000"/>
            <w14:lumOff w14:val="25000"/>
          </w14:schemeClr>
        </w14:solidFill>
      </w14:textFill>
      <w14:ligatures w14:val="standardContextual"/>
    </w:rPr>
  </w:style>
  <w:style w:type="character" w:customStyle="1" w:styleId="32">
    <w:name w:val="引用 字符"/>
    <w:basedOn w:val="16"/>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widowControl w:val="0"/>
      <w:spacing w:after="160" w:line="278" w:lineRule="auto"/>
      <w:ind w:left="720"/>
      <w:contextualSpacing/>
    </w:pPr>
    <w:rPr>
      <w:rFonts w:asciiTheme="minorHAnsi" w:hAnsiTheme="minorHAnsi" w:eastAsiaTheme="minorEastAsia" w:cstheme="minorBidi"/>
      <w:kern w:val="2"/>
      <w:sz w:val="22"/>
      <w14:ligatures w14:val="standardContextual"/>
    </w:rPr>
  </w:style>
  <w:style w:type="character" w:customStyle="1" w:styleId="34">
    <w:name w:val="明显强调1"/>
    <w:basedOn w:val="16"/>
    <w:qFormat/>
    <w:uiPriority w:val="21"/>
    <w:rPr>
      <w:i/>
      <w:iCs/>
      <w:color w:val="104862" w:themeColor="accent1" w:themeShade="BF"/>
    </w:rPr>
  </w:style>
  <w:style w:type="paragraph" w:styleId="35">
    <w:name w:val="Intense Quote"/>
    <w:basedOn w:val="1"/>
    <w:next w:val="1"/>
    <w:link w:val="36"/>
    <w:qFormat/>
    <w:uiPriority w:val="30"/>
    <w:pPr>
      <w:widowControl w:val="0"/>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kern w:val="2"/>
      <w:sz w:val="22"/>
      <w14:ligatures w14:val="standardContextual"/>
    </w:rPr>
  </w:style>
  <w:style w:type="character" w:customStyle="1" w:styleId="36">
    <w:name w:val="明显引用 字符"/>
    <w:basedOn w:val="16"/>
    <w:link w:val="35"/>
    <w:uiPriority w:val="30"/>
    <w:rPr>
      <w:i/>
      <w:iCs/>
      <w:color w:val="104862" w:themeColor="accent1" w:themeShade="BF"/>
    </w:rPr>
  </w:style>
  <w:style w:type="character" w:customStyle="1" w:styleId="37">
    <w:name w:val="明显参考1"/>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654</Words>
  <Characters>3731</Characters>
  <Lines>31</Lines>
  <Paragraphs>8</Paragraphs>
  <TotalTime>0</TotalTime>
  <ScaleCrop>false</ScaleCrop>
  <LinksUpToDate>false</LinksUpToDate>
  <CharactersWithSpaces>4377</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2026-05-29T10:21:00Z</dcterms:created>
  <dc:creator>huifeng yuan</dc:creator>
  <cp:lastModifiedBy>Huifeng</cp:lastModifiedBy>
  <dcterms:modified xsi:type="dcterms:W3CDTF">2026-06-18T13:43:26Z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79135FA55DBD94861AF7236A8CF713EF_42</vt:lpwstr>
  </property>
</Properties>
</file>